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pPr>
      <w:r>
        <w:rPr>
          <w:rFonts w:hint="eastAsia" w:ascii="黑体" w:hAnsi="黑体" w:eastAsia="黑体" w:cs="宋体"/>
          <w:b/>
          <w:bCs/>
          <w:kern w:val="0"/>
          <w:sz w:val="32"/>
          <w:szCs w:val="32"/>
        </w:rPr>
        <w:t>YSHQ2024-ZB-08</w:t>
      </w:r>
      <w:r>
        <w:rPr>
          <w:rFonts w:hint="eastAsia" w:ascii="黑体" w:hAnsi="黑体" w:eastAsia="黑体" w:cs="宋体"/>
          <w:b/>
          <w:bCs/>
          <w:kern w:val="0"/>
          <w:sz w:val="32"/>
          <w:szCs w:val="32"/>
          <w:lang w:val="en-US" w:eastAsia="zh-CN"/>
        </w:rPr>
        <w:t>26</w:t>
      </w:r>
      <w:r>
        <w:rPr>
          <w:rFonts w:hint="eastAsia" w:ascii="黑体" w:hAnsi="黑体" w:eastAsia="黑体" w:cs="宋体"/>
          <w:b/>
          <w:bCs/>
          <w:kern w:val="0"/>
          <w:sz w:val="32"/>
          <w:szCs w:val="32"/>
        </w:rPr>
        <w:t>盐城师范学院2024年学生宿舍卫生工具询价采购公告</w:t>
      </w:r>
    </w:p>
    <w:p/>
    <w:p>
      <w:pPr>
        <w:widowControl/>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盐城师范学院</w:t>
      </w:r>
      <w:r>
        <w:rPr>
          <w:rFonts w:hint="eastAsia" w:ascii="宋体" w:hAnsi="宋体" w:eastAsia="宋体" w:cs="宋体"/>
          <w:color w:val="000000"/>
          <w:kern w:val="0"/>
          <w:sz w:val="24"/>
          <w:szCs w:val="24"/>
          <w:lang w:val="en-US" w:eastAsia="zh-CN"/>
        </w:rPr>
        <w:t>现</w:t>
      </w:r>
      <w:r>
        <w:rPr>
          <w:rFonts w:hint="eastAsia" w:ascii="宋体" w:hAnsi="宋体" w:eastAsia="宋体" w:cs="宋体"/>
          <w:color w:val="000000"/>
          <w:kern w:val="0"/>
          <w:sz w:val="24"/>
          <w:szCs w:val="24"/>
        </w:rPr>
        <w:t>就2024年新生宿舍卫生工具采购项目进行询价采购，</w:t>
      </w:r>
      <w:r>
        <w:rPr>
          <w:rFonts w:hint="eastAsia" w:ascii="宋体" w:hAnsi="宋体" w:eastAsia="宋体" w:cs="宋体"/>
          <w:color w:val="000000"/>
          <w:sz w:val="24"/>
          <w:szCs w:val="24"/>
        </w:rPr>
        <w:t>限价2.86万元，</w:t>
      </w:r>
      <w:r>
        <w:rPr>
          <w:rFonts w:hint="eastAsia" w:ascii="宋体" w:hAnsi="宋体" w:eastAsia="宋体" w:cs="宋体"/>
          <w:color w:val="000000"/>
          <w:kern w:val="0"/>
          <w:sz w:val="24"/>
          <w:szCs w:val="24"/>
        </w:rPr>
        <w:t>欢迎符合相关条件的供应商参加报价，现将采购事宜公告如下。</w:t>
      </w:r>
    </w:p>
    <w:p>
      <w:pPr>
        <w:widowControl/>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一、报价人资格条件</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报价文件中，应包含下列资格资料：营业执照复印件，法人及授权代表人身份证复印件，法定代表人授权书，报价单（报价应包含全部设备价、包装费、运输送货上门（含如需要上楼）、安装调试、培训、技术服务、税金等全部费用）。</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报价单见附件一。</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二、报价起、止时间及要求</w:t>
      </w:r>
      <w:bookmarkStart w:id="0" w:name="_GoBack"/>
      <w:bookmarkEnd w:id="0"/>
    </w:p>
    <w:p>
      <w:pPr>
        <w:widowControl/>
        <w:ind w:firstLine="480"/>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2024年8月16日——2024年8月21日上午10:00。</w:t>
      </w:r>
    </w:p>
    <w:p>
      <w:pPr>
        <w:widowControl/>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请将报价文件在截止时间之前顺丰（请在快递单上备注项目编号YSHQ2024-ZB-0826）快递（不接受同城快递，必须有顺丰单号）至江苏省盐城市</w:t>
      </w:r>
      <w:r>
        <w:rPr>
          <w:rFonts w:hint="eastAsia" w:ascii="宋体" w:hAnsi="宋体" w:eastAsia="宋体" w:cs="宋体"/>
          <w:color w:val="000000"/>
          <w:kern w:val="0"/>
          <w:sz w:val="24"/>
          <w:szCs w:val="24"/>
        </w:rPr>
        <w:t>希望大道南路2号盐城师范学院(新长校区)后勤综合楼215项目管理科 。</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快递接收人：侍老师。</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联系电话：13921846567（该电话不接受咨询，仅用于快递接收）。</w:t>
      </w:r>
    </w:p>
    <w:p>
      <w:pPr>
        <w:widowControl/>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三、采购清单、技术规格参数</w:t>
      </w:r>
    </w:p>
    <w:p>
      <w:pPr>
        <w:widowControl/>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1.采购卫生工具：1300个拖把，1300个扫把，1300个垃圾斗，1300个纸篓。</w:t>
      </w:r>
    </w:p>
    <w:p>
      <w:pPr>
        <w:widowControl/>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技术要求：拖把木制手柄（带防脏膜或喷防锈漆），手柄长1.0米至1.2米，拖布重1.1斤以上；扫把要求木制手柄（带防脏膜或喷防锈漆），总长0.8米至1.1米，塑料丝头（不是再生料）；垃圾斗要求铁制斗，斗口宽28CM、深23CM，铁制手柄（手柄外部有防透措施），长0.6至0.7米；纸篓要求塑料纸篓，高25CM,口外直径28CM。</w:t>
      </w:r>
    </w:p>
    <w:p>
      <w:pPr>
        <w:widowControl/>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3.根据学校要求时间放到指定地点。</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四、中价原则</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最低价法。如</w:t>
      </w:r>
      <w:r>
        <w:rPr>
          <w:rFonts w:hint="eastAsia" w:ascii="宋体" w:hAnsi="宋体" w:eastAsia="宋体" w:cs="宋体"/>
          <w:color w:val="000000"/>
          <w:kern w:val="0"/>
          <w:sz w:val="24"/>
          <w:szCs w:val="24"/>
          <w:lang w:val="en-US" w:eastAsia="zh-CN"/>
        </w:rPr>
        <w:t>最低</w:t>
      </w:r>
      <w:r>
        <w:rPr>
          <w:rFonts w:hint="eastAsia" w:ascii="宋体" w:hAnsi="宋体" w:eastAsia="宋体" w:cs="宋体"/>
          <w:color w:val="333333"/>
          <w:kern w:val="0"/>
          <w:sz w:val="24"/>
          <w:szCs w:val="24"/>
          <w:shd w:val="clear" w:color="auto" w:fill="FFFFFF"/>
        </w:rPr>
        <w:t>报价</w:t>
      </w:r>
      <w:r>
        <w:rPr>
          <w:rFonts w:hint="eastAsia" w:ascii="宋体" w:hAnsi="宋体" w:eastAsia="宋体" w:cs="宋体"/>
          <w:color w:val="333333"/>
          <w:kern w:val="0"/>
          <w:sz w:val="24"/>
          <w:szCs w:val="24"/>
          <w:shd w:val="clear" w:color="auto" w:fill="FFFFFF"/>
          <w:lang w:val="en-US" w:eastAsia="zh-CN"/>
        </w:rPr>
        <w:t>出现</w:t>
      </w:r>
      <w:r>
        <w:rPr>
          <w:rFonts w:hint="eastAsia" w:ascii="宋体" w:hAnsi="宋体" w:eastAsia="宋体" w:cs="宋体"/>
          <w:color w:val="333333"/>
          <w:kern w:val="0"/>
          <w:sz w:val="24"/>
          <w:szCs w:val="24"/>
          <w:shd w:val="clear" w:color="auto" w:fill="FFFFFF"/>
        </w:rPr>
        <w:t>相同的情况，</w:t>
      </w:r>
      <w:r>
        <w:rPr>
          <w:rFonts w:hint="eastAsia" w:ascii="宋体" w:hAnsi="宋体" w:eastAsia="宋体" w:cs="宋体"/>
          <w:color w:val="333333"/>
          <w:kern w:val="0"/>
          <w:sz w:val="24"/>
          <w:szCs w:val="24"/>
          <w:shd w:val="clear" w:color="auto" w:fill="FFFFFF"/>
          <w:lang w:val="en-US" w:eastAsia="zh-CN"/>
        </w:rPr>
        <w:t>则</w:t>
      </w:r>
      <w:r>
        <w:rPr>
          <w:rFonts w:hint="eastAsia" w:ascii="宋体" w:hAnsi="宋体" w:eastAsia="宋体" w:cs="宋体"/>
          <w:color w:val="333333"/>
          <w:kern w:val="0"/>
          <w:sz w:val="24"/>
          <w:szCs w:val="24"/>
          <w:shd w:val="clear" w:color="auto" w:fill="FFFFFF"/>
        </w:rPr>
        <w:t>二次挂网，再次询价。</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五、付款方式</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验收合格后10个工作日内，中价人按照中价金额开具有效的发票，采购人向中价人支付合同金额的100﹪。如验收不合格以及发现伪劣产品等，采购人将视其情形采取拒付款、终止合同、退货、索赔等措施，直至通过有关部门，依法处理。</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六、供货周期</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合同签订后10个日历天内完成送货及安装调试工作。</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七、合同</w:t>
      </w:r>
    </w:p>
    <w:p>
      <w:pPr>
        <w:widowControl/>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总价超过1万的设备，需要签订设备采购合同（</w:t>
      </w:r>
      <w:r>
        <w:rPr>
          <w:rFonts w:hint="eastAsia" w:ascii="宋体" w:hAnsi="宋体" w:eastAsia="宋体" w:cs="宋体"/>
          <w:color w:val="000000"/>
          <w:kern w:val="0"/>
          <w:sz w:val="24"/>
          <w:szCs w:val="24"/>
          <w:lang w:val="en-US" w:eastAsia="zh-CN"/>
        </w:rPr>
        <w:t>详</w:t>
      </w:r>
      <w:r>
        <w:rPr>
          <w:rFonts w:hint="eastAsia" w:ascii="宋体" w:hAnsi="宋体" w:eastAsia="宋体" w:cs="宋体"/>
          <w:color w:val="000000"/>
          <w:kern w:val="0"/>
          <w:sz w:val="24"/>
          <w:szCs w:val="24"/>
        </w:rPr>
        <w:t>见</w:t>
      </w:r>
      <w:r>
        <w:rPr>
          <w:rFonts w:hint="eastAsia" w:ascii="宋体" w:hAnsi="宋体" w:eastAsia="宋体" w:cs="宋体"/>
          <w:color w:val="000000"/>
          <w:kern w:val="0"/>
          <w:sz w:val="24"/>
          <w:szCs w:val="24"/>
          <w:lang w:val="en-US" w:eastAsia="zh-CN"/>
        </w:rPr>
        <w:t>招标文件中</w:t>
      </w:r>
      <w:r>
        <w:rPr>
          <w:rFonts w:hint="eastAsia" w:ascii="宋体" w:hAnsi="宋体" w:eastAsia="宋体" w:cs="宋体"/>
          <w:color w:val="000000"/>
          <w:kern w:val="0"/>
          <w:sz w:val="24"/>
          <w:szCs w:val="24"/>
        </w:rPr>
        <w:t>附件二，合同编号和挂网项目编号一致）。</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八、采购人及联系人</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采购人名称：盐城师范学院</w:t>
      </w:r>
    </w:p>
    <w:p>
      <w:pPr>
        <w:widowControl/>
        <w:ind w:firstLine="480"/>
        <w:jc w:val="left"/>
        <w:rPr>
          <w:rFonts w:hint="eastAsia" w:ascii="微软雅黑" w:hAnsi="微软雅黑" w:eastAsia="微软雅黑" w:cs="宋体"/>
          <w:color w:val="000000"/>
          <w:kern w:val="0"/>
          <w:sz w:val="18"/>
          <w:szCs w:val="18"/>
        </w:rPr>
      </w:pPr>
      <w:r>
        <w:rPr>
          <w:rFonts w:hint="eastAsia" w:ascii="宋体" w:hAnsi="宋体" w:eastAsia="宋体" w:cs="宋体"/>
          <w:color w:val="000000"/>
          <w:kern w:val="0"/>
          <w:sz w:val="24"/>
          <w:szCs w:val="24"/>
        </w:rPr>
        <w:t>采购联系人：黄老师，联系电话：15295366199。</w:t>
      </w:r>
    </w:p>
    <w:p>
      <w:pPr>
        <w:widowControl/>
        <w:jc w:val="left"/>
      </w:pPr>
      <w:r>
        <w:br w:type="page"/>
      </w:r>
    </w:p>
    <w:p>
      <w:pPr>
        <w:rPr>
          <w:rFonts w:ascii="黑体" w:eastAsia="黑体"/>
          <w:sz w:val="30"/>
          <w:szCs w:val="30"/>
        </w:rPr>
      </w:pPr>
      <w:r>
        <w:rPr>
          <w:rFonts w:hint="eastAsia" w:ascii="黑体" w:hAnsi="黑体" w:eastAsia="黑体"/>
          <w:sz w:val="30"/>
          <w:szCs w:val="30"/>
        </w:rPr>
        <w:t>附件一</w:t>
      </w:r>
    </w:p>
    <w:p>
      <w:pPr>
        <w:jc w:val="center"/>
        <w:rPr>
          <w:rFonts w:ascii="黑体" w:eastAsia="黑体"/>
          <w:sz w:val="30"/>
          <w:szCs w:val="30"/>
        </w:rPr>
      </w:pPr>
      <w:r>
        <w:rPr>
          <w:rFonts w:hint="eastAsia" w:ascii="黑体" w:hAnsi="黑体" w:eastAsia="黑体"/>
          <w:sz w:val="30"/>
          <w:szCs w:val="30"/>
        </w:rPr>
        <w:t>盐城师范学院设备采购报价表</w:t>
      </w:r>
    </w:p>
    <w:p>
      <w:pPr>
        <w:jc w:val="center"/>
        <w:rPr>
          <w:rFonts w:ascii="黑体" w:eastAsia="黑体"/>
          <w:sz w:val="30"/>
          <w:szCs w:val="30"/>
        </w:rPr>
      </w:pPr>
      <w:r>
        <w:rPr>
          <w:sz w:val="28"/>
          <w:szCs w:val="28"/>
        </w:rPr>
        <w:t xml:space="preserve">                              </w:t>
      </w:r>
      <w:r>
        <w:rPr>
          <w:rFonts w:hint="eastAsia" w:ascii="宋体" w:hAnsi="宋体"/>
          <w:sz w:val="28"/>
          <w:szCs w:val="28"/>
        </w:rPr>
        <w:t>编号：</w:t>
      </w:r>
    </w:p>
    <w:tbl>
      <w:tblPr>
        <w:tblStyle w:val="6"/>
        <w:tblW w:w="8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992"/>
        <w:gridCol w:w="1030"/>
        <w:gridCol w:w="1970"/>
        <w:gridCol w:w="829"/>
        <w:gridCol w:w="992"/>
        <w:gridCol w:w="840"/>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2724"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rPr>
            </w:pPr>
            <w:r>
              <w:rPr>
                <w:rFonts w:hint="eastAsia" w:ascii="宋体" w:hAnsi="宋体"/>
                <w:sz w:val="24"/>
                <w:szCs w:val="24"/>
              </w:rPr>
              <w:t>供应商（盖章）</w:t>
            </w:r>
          </w:p>
        </w:tc>
        <w:tc>
          <w:tcPr>
            <w:tcW w:w="5878"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2724"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rPr>
            </w:pPr>
            <w:r>
              <w:rPr>
                <w:rFonts w:hint="eastAsia" w:ascii="宋体" w:hAnsi="宋体"/>
                <w:sz w:val="24"/>
                <w:szCs w:val="24"/>
              </w:rPr>
              <w:t>供应商地址</w:t>
            </w:r>
          </w:p>
        </w:tc>
        <w:tc>
          <w:tcPr>
            <w:tcW w:w="5878"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2724"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rPr>
            </w:pPr>
            <w:r>
              <w:rPr>
                <w:rFonts w:hint="eastAsia" w:ascii="宋体" w:hAnsi="宋体"/>
                <w:sz w:val="24"/>
                <w:szCs w:val="24"/>
              </w:rPr>
              <w:t>联系人</w:t>
            </w:r>
          </w:p>
        </w:tc>
        <w:tc>
          <w:tcPr>
            <w:tcW w:w="5878"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2724"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rPr>
            </w:pPr>
            <w:r>
              <w:rPr>
                <w:rFonts w:hint="eastAsia" w:ascii="宋体" w:hAnsi="宋体"/>
                <w:sz w:val="24"/>
                <w:szCs w:val="24"/>
              </w:rPr>
              <w:t>联系电话</w:t>
            </w:r>
          </w:p>
        </w:tc>
        <w:tc>
          <w:tcPr>
            <w:tcW w:w="19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rPr>
            </w:pPr>
          </w:p>
        </w:tc>
        <w:tc>
          <w:tcPr>
            <w:tcW w:w="82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szCs w:val="24"/>
              </w:rPr>
            </w:pPr>
            <w:r>
              <w:rPr>
                <w:rFonts w:hint="eastAsia" w:ascii="宋体" w:hAnsi="宋体"/>
                <w:sz w:val="24"/>
                <w:szCs w:val="24"/>
              </w:rPr>
              <w:t>邮箱</w:t>
            </w:r>
          </w:p>
        </w:tc>
        <w:tc>
          <w:tcPr>
            <w:tcW w:w="3079"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2724"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rPr>
            </w:pPr>
            <w:r>
              <w:rPr>
                <w:rFonts w:hint="eastAsia" w:ascii="宋体" w:hAnsi="宋体"/>
                <w:sz w:val="24"/>
                <w:szCs w:val="24"/>
              </w:rPr>
              <w:t>付款方式是否响应</w:t>
            </w:r>
          </w:p>
        </w:tc>
        <w:tc>
          <w:tcPr>
            <w:tcW w:w="5878"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rPr>
            </w:pPr>
            <w:r>
              <w:rPr>
                <w:rFonts w:hint="eastAsia" w:ascii="宋体" w:hAnsi="宋体"/>
                <w:sz w:val="24"/>
                <w:szCs w:val="24"/>
              </w:rPr>
              <w:t>□ 是      □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2724"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sz w:val="24"/>
                <w:szCs w:val="24"/>
              </w:rPr>
            </w:pPr>
            <w:r>
              <w:rPr>
                <w:rFonts w:hint="eastAsia" w:ascii="宋体" w:hAnsi="宋体"/>
                <w:sz w:val="24"/>
                <w:szCs w:val="24"/>
              </w:rPr>
              <w:t>供货期限及</w:t>
            </w:r>
          </w:p>
          <w:p>
            <w:pPr>
              <w:rPr>
                <w:rFonts w:hint="eastAsia" w:ascii="宋体" w:hAnsi="宋体" w:eastAsia="宋体"/>
                <w:sz w:val="24"/>
                <w:szCs w:val="24"/>
              </w:rPr>
            </w:pPr>
            <w:r>
              <w:rPr>
                <w:rFonts w:hint="eastAsia" w:ascii="宋体" w:hAnsi="宋体"/>
                <w:sz w:val="24"/>
                <w:szCs w:val="24"/>
              </w:rPr>
              <w:t>送货方式是否响应</w:t>
            </w:r>
          </w:p>
        </w:tc>
        <w:tc>
          <w:tcPr>
            <w:tcW w:w="5878"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rPr>
            </w:pPr>
            <w:r>
              <w:rPr>
                <w:rFonts w:hint="eastAsia" w:ascii="宋体" w:hAnsi="宋体"/>
                <w:sz w:val="24"/>
                <w:szCs w:val="24"/>
              </w:rPr>
              <w:t>□ 是      □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724"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rPr>
            </w:pPr>
            <w:r>
              <w:rPr>
                <w:rFonts w:hint="eastAsia" w:ascii="宋体" w:hAnsi="宋体"/>
                <w:sz w:val="24"/>
                <w:szCs w:val="24"/>
              </w:rPr>
              <w:t>备  注</w:t>
            </w:r>
          </w:p>
        </w:tc>
        <w:tc>
          <w:tcPr>
            <w:tcW w:w="5878"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602" w:type="dxa"/>
            <w:gridSpan w:val="8"/>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rPr>
            </w:pPr>
            <w:r>
              <w:rPr>
                <w:rFonts w:hint="eastAsia" w:ascii="宋体" w:hAnsi="宋体"/>
                <w:sz w:val="24"/>
                <w:szCs w:val="24"/>
              </w:rPr>
              <w:t>报价明细：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702" w:type="dxa"/>
            <w:tcBorders>
              <w:top w:val="nil"/>
              <w:left w:val="single" w:color="auto" w:sz="4" w:space="0"/>
              <w:bottom w:val="single" w:color="auto" w:sz="4" w:space="0"/>
              <w:right w:val="single" w:color="auto" w:sz="4" w:space="0"/>
            </w:tcBorders>
            <w:vAlign w:val="center"/>
          </w:tcPr>
          <w:p>
            <w:pPr>
              <w:spacing w:line="400" w:lineRule="exact"/>
              <w:jc w:val="center"/>
              <w:rPr>
                <w:rFonts w:ascii="仿宋_GB2312" w:eastAsia="仿宋_GB2312"/>
                <w:b/>
                <w:sz w:val="24"/>
              </w:rPr>
            </w:pPr>
            <w:r>
              <w:rPr>
                <w:rFonts w:hint="eastAsia" w:ascii="仿宋_GB2312" w:eastAsia="仿宋_GB2312"/>
                <w:b/>
                <w:sz w:val="24"/>
              </w:rPr>
              <w:t>序号</w:t>
            </w: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b/>
                <w:sz w:val="24"/>
              </w:rPr>
            </w:pPr>
            <w:r>
              <w:rPr>
                <w:rFonts w:hint="eastAsia" w:ascii="仿宋_GB2312" w:eastAsia="仿宋_GB2312"/>
                <w:b/>
                <w:sz w:val="24"/>
              </w:rPr>
              <w:t>设备</w:t>
            </w:r>
          </w:p>
          <w:p>
            <w:pPr>
              <w:spacing w:line="400" w:lineRule="exact"/>
              <w:jc w:val="center"/>
              <w:rPr>
                <w:rFonts w:ascii="仿宋_GB2312" w:eastAsia="仿宋_GB2312"/>
                <w:b/>
                <w:sz w:val="24"/>
              </w:rPr>
            </w:pPr>
            <w:r>
              <w:rPr>
                <w:rFonts w:hint="eastAsia" w:ascii="仿宋_GB2312" w:eastAsia="仿宋_GB2312"/>
                <w:b/>
                <w:sz w:val="24"/>
              </w:rPr>
              <w:t>名称</w:t>
            </w:r>
          </w:p>
        </w:tc>
        <w:tc>
          <w:tcPr>
            <w:tcW w:w="382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b/>
                <w:sz w:val="24"/>
              </w:rPr>
            </w:pPr>
            <w:r>
              <w:rPr>
                <w:rFonts w:hint="eastAsia" w:ascii="仿宋_GB2312" w:eastAsia="仿宋_GB2312"/>
                <w:b/>
                <w:sz w:val="24"/>
              </w:rPr>
              <w:t>详细参数</w:t>
            </w: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b/>
                <w:sz w:val="24"/>
              </w:rPr>
            </w:pPr>
            <w:r>
              <w:rPr>
                <w:rFonts w:hint="eastAsia" w:ascii="仿宋_GB2312" w:eastAsia="仿宋_GB2312"/>
                <w:b/>
                <w:sz w:val="24"/>
              </w:rPr>
              <w:t>数量</w:t>
            </w:r>
          </w:p>
        </w:tc>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b/>
                <w:sz w:val="24"/>
              </w:rPr>
            </w:pPr>
            <w:r>
              <w:rPr>
                <w:rFonts w:hint="eastAsia" w:ascii="仿宋_GB2312" w:eastAsia="仿宋_GB2312"/>
                <w:b/>
                <w:sz w:val="24"/>
              </w:rPr>
              <w:t>单价</w:t>
            </w:r>
          </w:p>
        </w:tc>
        <w:tc>
          <w:tcPr>
            <w:tcW w:w="124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b/>
                <w:sz w:val="24"/>
              </w:rPr>
            </w:pPr>
            <w:r>
              <w:rPr>
                <w:rFonts w:hint="eastAsia" w:ascii="仿宋_GB2312" w:eastAsia="仿宋_GB2312"/>
                <w:b/>
                <w:sz w:val="24"/>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702" w:type="dxa"/>
            <w:tcBorders>
              <w:top w:val="nil"/>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4"/>
              </w:rPr>
            </w:pPr>
            <w:r>
              <w:rPr>
                <w:rFonts w:hint="eastAsia" w:ascii="仿宋_GB2312" w:eastAsia="仿宋_GB2312"/>
                <w:sz w:val="24"/>
              </w:rPr>
              <w:t>1</w:t>
            </w: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hint="eastAsia"/>
              </w:rPr>
              <w:t>拖把</w:t>
            </w:r>
          </w:p>
        </w:tc>
        <w:tc>
          <w:tcPr>
            <w:tcW w:w="3829"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szCs w:val="21"/>
                <w:highlight w:val="yellow"/>
              </w:rPr>
            </w:pPr>
            <w:r>
              <w:rPr>
                <w:rFonts w:hint="eastAsia"/>
              </w:rPr>
              <w:t>木制手柄（带防脏膜或喷防锈漆），手柄长1.0米至1.2米，拖布重1.1斤以上。</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szCs w:val="24"/>
                <w:u w:val="single"/>
              </w:rPr>
            </w:pPr>
            <w:r>
              <w:rPr>
                <w:rFonts w:ascii="宋体" w:hAnsi="宋体" w:eastAsia="宋体"/>
                <w:sz w:val="24"/>
                <w:szCs w:val="24"/>
              </w:rPr>
              <w:t>1</w:t>
            </w:r>
            <w:r>
              <w:rPr>
                <w:rFonts w:hint="eastAsia" w:ascii="宋体" w:hAnsi="宋体" w:eastAsia="宋体"/>
                <w:sz w:val="24"/>
                <w:szCs w:val="24"/>
              </w:rPr>
              <w:t>300</w:t>
            </w:r>
          </w:p>
        </w:tc>
        <w:tc>
          <w:tcPr>
            <w:tcW w:w="84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u w:val="single"/>
              </w:rPr>
            </w:pPr>
          </w:p>
        </w:tc>
        <w:tc>
          <w:tcPr>
            <w:tcW w:w="1247"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4"/>
              </w:rPr>
            </w:pPr>
            <w:r>
              <w:rPr>
                <w:rFonts w:hint="eastAsia" w:ascii="仿宋_GB2312" w:eastAsia="仿宋_GB2312"/>
                <w:sz w:val="24"/>
              </w:rPr>
              <w:t>2</w:t>
            </w: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hint="eastAsia"/>
              </w:rPr>
              <w:t>扫把</w:t>
            </w:r>
          </w:p>
        </w:tc>
        <w:tc>
          <w:tcPr>
            <w:tcW w:w="382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szCs w:val="21"/>
                <w:highlight w:val="yellow"/>
              </w:rPr>
            </w:pPr>
            <w:r>
              <w:rPr>
                <w:rFonts w:hint="eastAsia"/>
              </w:rPr>
              <w:t>木制手柄(带防脏膜或喷防锈漆)，总长0.8米至1.1米，塑料丝头（不是再生料）。</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szCs w:val="24"/>
                <w:u w:val="single"/>
              </w:rPr>
            </w:pPr>
            <w:r>
              <w:rPr>
                <w:rFonts w:ascii="宋体" w:hAnsi="宋体" w:eastAsia="宋体"/>
                <w:sz w:val="24"/>
                <w:szCs w:val="24"/>
              </w:rPr>
              <w:t>1</w:t>
            </w:r>
            <w:r>
              <w:rPr>
                <w:rFonts w:hint="eastAsia" w:ascii="宋体" w:hAnsi="宋体" w:eastAsia="宋体"/>
                <w:sz w:val="24"/>
                <w:szCs w:val="24"/>
              </w:rPr>
              <w:t>300</w:t>
            </w:r>
          </w:p>
        </w:tc>
        <w:tc>
          <w:tcPr>
            <w:tcW w:w="84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u w:val="single"/>
              </w:rPr>
            </w:pPr>
          </w:p>
        </w:tc>
        <w:tc>
          <w:tcPr>
            <w:tcW w:w="1247"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4"/>
              </w:rPr>
            </w:pPr>
            <w:r>
              <w:rPr>
                <w:rFonts w:hint="eastAsia" w:ascii="仿宋_GB2312" w:eastAsia="仿宋_GB2312"/>
                <w:sz w:val="24"/>
              </w:rPr>
              <w:t>3</w:t>
            </w: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hint="eastAsia"/>
              </w:rPr>
              <w:t>垃圾斗</w:t>
            </w:r>
          </w:p>
        </w:tc>
        <w:tc>
          <w:tcPr>
            <w:tcW w:w="3829"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szCs w:val="21"/>
                <w:highlight w:val="yellow"/>
              </w:rPr>
            </w:pPr>
            <w:r>
              <w:rPr>
                <w:rFonts w:hint="eastAsia"/>
              </w:rPr>
              <w:t>铁制斗，斗口宽28CM、深23CM，铁制手柄（手柄外部有防透措施），长0.6至0.7米。</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szCs w:val="24"/>
                <w:u w:val="single"/>
              </w:rPr>
            </w:pPr>
            <w:r>
              <w:rPr>
                <w:rFonts w:ascii="宋体" w:hAnsi="宋体" w:eastAsia="宋体"/>
                <w:sz w:val="24"/>
                <w:szCs w:val="24"/>
              </w:rPr>
              <w:t>1</w:t>
            </w:r>
            <w:r>
              <w:rPr>
                <w:rFonts w:hint="eastAsia" w:ascii="宋体" w:hAnsi="宋体" w:eastAsia="宋体"/>
                <w:sz w:val="24"/>
                <w:szCs w:val="24"/>
              </w:rPr>
              <w:t>300</w:t>
            </w:r>
          </w:p>
        </w:tc>
        <w:tc>
          <w:tcPr>
            <w:tcW w:w="84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u w:val="single"/>
              </w:rPr>
            </w:pPr>
          </w:p>
        </w:tc>
        <w:tc>
          <w:tcPr>
            <w:tcW w:w="1247"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4"/>
              </w:rPr>
            </w:pPr>
            <w:r>
              <w:rPr>
                <w:rFonts w:hint="eastAsia" w:ascii="仿宋_GB2312" w:eastAsia="仿宋_GB2312"/>
                <w:sz w:val="24"/>
              </w:rPr>
              <w:t>4</w:t>
            </w:r>
          </w:p>
        </w:tc>
        <w:tc>
          <w:tcPr>
            <w:tcW w:w="9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hint="eastAsia"/>
              </w:rPr>
              <w:t>纸篓</w:t>
            </w:r>
          </w:p>
        </w:tc>
        <w:tc>
          <w:tcPr>
            <w:tcW w:w="382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szCs w:val="21"/>
                <w:highlight w:val="yellow"/>
              </w:rPr>
            </w:pPr>
            <w:r>
              <w:rPr>
                <w:rFonts w:hint="eastAsia"/>
              </w:rPr>
              <w:t>塑料纸篓，高25CM,口外直径28CM。</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szCs w:val="24"/>
                <w:u w:val="single"/>
              </w:rPr>
            </w:pPr>
            <w:r>
              <w:rPr>
                <w:rFonts w:ascii="宋体" w:hAnsi="宋体" w:eastAsia="宋体"/>
                <w:sz w:val="24"/>
                <w:szCs w:val="24"/>
              </w:rPr>
              <w:t>1</w:t>
            </w:r>
            <w:r>
              <w:rPr>
                <w:rFonts w:hint="eastAsia" w:ascii="宋体" w:hAnsi="宋体" w:eastAsia="宋体"/>
                <w:sz w:val="24"/>
                <w:szCs w:val="24"/>
              </w:rPr>
              <w:t>300</w:t>
            </w:r>
          </w:p>
        </w:tc>
        <w:tc>
          <w:tcPr>
            <w:tcW w:w="84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u w:val="single"/>
              </w:rPr>
            </w:pPr>
          </w:p>
        </w:tc>
        <w:tc>
          <w:tcPr>
            <w:tcW w:w="1247"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sz w:val="24"/>
                <w:szCs w:val="24"/>
              </w:rPr>
            </w:pPr>
            <w:r>
              <w:rPr>
                <w:rFonts w:hint="eastAsia" w:ascii="宋体" w:hAnsi="宋体" w:eastAsia="宋体"/>
                <w:sz w:val="24"/>
                <w:szCs w:val="24"/>
              </w:rPr>
              <w:t>总价</w:t>
            </w:r>
          </w:p>
        </w:tc>
        <w:tc>
          <w:tcPr>
            <w:tcW w:w="7900" w:type="dxa"/>
            <w:gridSpan w:val="7"/>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sz w:val="24"/>
                <w:szCs w:val="24"/>
                <w:u w:val="single"/>
              </w:rPr>
            </w:pPr>
            <w:r>
              <w:rPr>
                <w:rFonts w:hint="eastAsia" w:ascii="仿宋_GB2312" w:hAnsi="宋体" w:eastAsia="仿宋_GB2312"/>
                <w:sz w:val="24"/>
              </w:rPr>
              <w:t>人民币（大写）</w:t>
            </w:r>
            <w:r>
              <w:rPr>
                <w:rFonts w:hint="eastAsia" w:ascii="仿宋_GB2312" w:hAnsi="宋体" w:eastAsia="仿宋_GB2312"/>
                <w:sz w:val="24"/>
                <w:u w:val="single"/>
              </w:rPr>
              <w:t xml:space="preserve">                      </w:t>
            </w:r>
            <w:r>
              <w:rPr>
                <w:rFonts w:hint="eastAsia" w:ascii="仿宋_GB2312" w:hAnsi="宋体" w:eastAsia="仿宋_GB2312"/>
                <w:sz w:val="24"/>
              </w:rPr>
              <w:t>元整（￥:</w:t>
            </w:r>
            <w:r>
              <w:rPr>
                <w:rFonts w:hint="eastAsia" w:ascii="仿宋_GB2312" w:hAnsi="宋体" w:eastAsia="仿宋_GB2312"/>
                <w:sz w:val="24"/>
                <w:u w:val="single"/>
              </w:rPr>
              <w:t xml:space="preserve">          </w:t>
            </w:r>
            <w:r>
              <w:rPr>
                <w:rFonts w:hint="eastAsia" w:ascii="仿宋_GB2312" w:hAnsi="宋体" w:eastAsia="仿宋_GB2312"/>
                <w:sz w:val="24"/>
              </w:rPr>
              <w:t>元整）</w:t>
            </w:r>
          </w:p>
        </w:tc>
      </w:tr>
    </w:tbl>
    <w:p>
      <w:pPr>
        <w:ind w:right="360"/>
        <w:jc w:val="center"/>
        <w:rPr>
          <w:rFonts w:hint="eastAsia" w:ascii="黑体" w:hAnsi="宋体" w:eastAsia="黑体" w:cs="Times New Roman"/>
          <w:sz w:val="24"/>
          <w:szCs w:val="24"/>
        </w:rPr>
      </w:pPr>
      <w:r>
        <w:rPr>
          <w:rFonts w:hint="eastAsia" w:ascii="黑体" w:hAnsi="宋体" w:eastAsia="黑体"/>
          <w:sz w:val="24"/>
          <w:szCs w:val="24"/>
        </w:rPr>
        <w:t xml:space="preserve"> </w:t>
      </w:r>
    </w:p>
    <w:p>
      <w:r>
        <w:t xml:space="preserve"> </w:t>
      </w:r>
    </w:p>
    <w:p>
      <w:pPr>
        <w:rPr>
          <w:rFonts w:ascii="黑体" w:eastAsia="黑体"/>
          <w:sz w:val="30"/>
          <w:szCs w:val="30"/>
        </w:rPr>
      </w:pPr>
      <w:r>
        <w:br w:type="page"/>
      </w:r>
      <w:r>
        <w:rPr>
          <w:rFonts w:hint="eastAsia" w:ascii="黑体" w:eastAsia="黑体"/>
          <w:sz w:val="30"/>
          <w:szCs w:val="30"/>
        </w:rPr>
        <w:t>附件二</w:t>
      </w:r>
    </w:p>
    <w:p>
      <w:pPr>
        <w:pStyle w:val="2"/>
        <w:snapToGrid w:val="0"/>
        <w:jc w:val="center"/>
        <w:rPr>
          <w:rFonts w:hint="eastAsia" w:hAnsi="宋体"/>
          <w:b/>
          <w:sz w:val="24"/>
        </w:rPr>
      </w:pPr>
      <w:r>
        <w:rPr>
          <w:rFonts w:hint="eastAsia"/>
          <w:b/>
          <w:sz w:val="36"/>
          <w:szCs w:val="36"/>
        </w:rPr>
        <w:t>采购合同</w:t>
      </w:r>
    </w:p>
    <w:tbl>
      <w:tblPr>
        <w:tblStyle w:val="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417"/>
        <w:gridCol w:w="3686"/>
        <w:gridCol w:w="1239"/>
        <w:gridCol w:w="2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710" w:type="dxa"/>
            <w:vMerge w:val="restart"/>
            <w:vAlign w:val="center"/>
          </w:tcPr>
          <w:p>
            <w:pPr>
              <w:snapToGrid w:val="0"/>
              <w:spacing w:line="260" w:lineRule="exact"/>
              <w:jc w:val="center"/>
              <w:rPr>
                <w:rFonts w:hint="eastAsia" w:ascii="宋体" w:hAnsi="宋体"/>
                <w:b/>
                <w:bCs/>
                <w:szCs w:val="21"/>
              </w:rPr>
            </w:pPr>
            <w:r>
              <w:rPr>
                <w:rFonts w:hint="eastAsia" w:ascii="宋体" w:hAnsi="宋体"/>
                <w:b/>
                <w:bCs/>
                <w:szCs w:val="21"/>
              </w:rPr>
              <w:t>甲方</w:t>
            </w:r>
          </w:p>
        </w:tc>
        <w:tc>
          <w:tcPr>
            <w:tcW w:w="1417" w:type="dxa"/>
            <w:vMerge w:val="restart"/>
            <w:tcBorders>
              <w:right w:val="single" w:color="auto" w:sz="4" w:space="0"/>
            </w:tcBorders>
            <w:vAlign w:val="center"/>
          </w:tcPr>
          <w:p>
            <w:pPr>
              <w:snapToGrid w:val="0"/>
              <w:spacing w:line="260" w:lineRule="exact"/>
              <w:jc w:val="center"/>
              <w:rPr>
                <w:rFonts w:hint="eastAsia" w:ascii="宋体" w:hAnsi="宋体"/>
                <w:szCs w:val="21"/>
              </w:rPr>
            </w:pPr>
            <w:r>
              <w:rPr>
                <w:rFonts w:hint="eastAsia" w:ascii="宋体" w:hAnsi="宋体"/>
                <w:szCs w:val="21"/>
              </w:rPr>
              <w:t>单位名称：</w:t>
            </w:r>
          </w:p>
          <w:p>
            <w:pPr>
              <w:snapToGrid w:val="0"/>
              <w:spacing w:line="260" w:lineRule="exact"/>
              <w:jc w:val="center"/>
              <w:rPr>
                <w:rFonts w:hint="eastAsia" w:ascii="宋体" w:hAnsi="宋体"/>
                <w:szCs w:val="21"/>
              </w:rPr>
            </w:pPr>
            <w:r>
              <w:rPr>
                <w:rFonts w:hint="eastAsia" w:ascii="宋体" w:hAnsi="宋体"/>
                <w:szCs w:val="21"/>
              </w:rPr>
              <w:t>地　　址：</w:t>
            </w:r>
          </w:p>
          <w:p>
            <w:pPr>
              <w:snapToGrid w:val="0"/>
              <w:spacing w:line="260" w:lineRule="exact"/>
              <w:jc w:val="center"/>
              <w:rPr>
                <w:rFonts w:hint="eastAsia" w:ascii="宋体" w:hAnsi="宋体"/>
                <w:szCs w:val="21"/>
              </w:rPr>
            </w:pPr>
            <w:r>
              <w:rPr>
                <w:rFonts w:hint="eastAsia" w:ascii="宋体" w:hAnsi="宋体"/>
                <w:szCs w:val="21"/>
              </w:rPr>
              <w:t>邮　　编：</w:t>
            </w:r>
          </w:p>
          <w:p>
            <w:pPr>
              <w:snapToGrid w:val="0"/>
              <w:spacing w:line="260" w:lineRule="exact"/>
              <w:jc w:val="center"/>
              <w:rPr>
                <w:rFonts w:hint="eastAsia" w:ascii="宋体" w:hAnsi="宋体"/>
                <w:szCs w:val="21"/>
              </w:rPr>
            </w:pPr>
            <w:r>
              <w:rPr>
                <w:rFonts w:hint="eastAsia" w:ascii="宋体" w:hAnsi="宋体"/>
                <w:szCs w:val="21"/>
              </w:rPr>
              <w:t>电　　话：</w:t>
            </w:r>
          </w:p>
          <w:p>
            <w:pPr>
              <w:snapToGrid w:val="0"/>
              <w:spacing w:line="260" w:lineRule="exact"/>
              <w:jc w:val="center"/>
              <w:rPr>
                <w:rFonts w:hint="eastAsia" w:ascii="宋体" w:hAnsi="宋体"/>
                <w:szCs w:val="21"/>
              </w:rPr>
            </w:pPr>
            <w:r>
              <w:rPr>
                <w:rFonts w:hint="eastAsia" w:ascii="宋体" w:hAnsi="宋体"/>
                <w:szCs w:val="21"/>
              </w:rPr>
              <w:t>传　　真：</w:t>
            </w:r>
          </w:p>
        </w:tc>
        <w:tc>
          <w:tcPr>
            <w:tcW w:w="3686" w:type="dxa"/>
            <w:vMerge w:val="restart"/>
            <w:tcBorders>
              <w:left w:val="single" w:color="auto" w:sz="4" w:space="0"/>
              <w:right w:val="single" w:color="auto" w:sz="4" w:space="0"/>
            </w:tcBorders>
          </w:tcPr>
          <w:p>
            <w:pPr>
              <w:snapToGrid w:val="0"/>
              <w:spacing w:line="260" w:lineRule="exact"/>
              <w:rPr>
                <w:rFonts w:hint="eastAsia" w:ascii="宋体" w:hAnsi="宋体"/>
                <w:szCs w:val="21"/>
              </w:rPr>
            </w:pPr>
            <w:r>
              <w:rPr>
                <w:rFonts w:hint="eastAsia" w:ascii="宋体" w:hAnsi="宋体"/>
                <w:szCs w:val="21"/>
              </w:rPr>
              <w:t>盐城师范学院</w:t>
            </w:r>
          </w:p>
          <w:p>
            <w:pPr>
              <w:snapToGrid w:val="0"/>
              <w:spacing w:line="260" w:lineRule="exact"/>
              <w:rPr>
                <w:rFonts w:hint="eastAsia" w:ascii="宋体" w:hAnsi="宋体"/>
                <w:szCs w:val="21"/>
              </w:rPr>
            </w:pPr>
            <w:r>
              <w:rPr>
                <w:rFonts w:hint="eastAsia" w:ascii="宋体" w:hAnsi="宋体"/>
                <w:szCs w:val="21"/>
              </w:rPr>
              <w:t>盐城市经济开发区希望大道南路2号</w:t>
            </w:r>
          </w:p>
          <w:p>
            <w:pPr>
              <w:snapToGrid w:val="0"/>
              <w:spacing w:line="260" w:lineRule="exact"/>
              <w:rPr>
                <w:rFonts w:hint="eastAsia" w:ascii="宋体" w:hAnsi="宋体"/>
                <w:szCs w:val="21"/>
              </w:rPr>
            </w:pPr>
            <w:r>
              <w:rPr>
                <w:rFonts w:hint="eastAsia" w:ascii="宋体" w:hAnsi="宋体"/>
                <w:szCs w:val="21"/>
              </w:rPr>
              <w:t>224051</w:t>
            </w:r>
          </w:p>
          <w:p>
            <w:pPr>
              <w:snapToGrid w:val="0"/>
              <w:spacing w:line="260" w:lineRule="exact"/>
              <w:rPr>
                <w:rFonts w:hint="eastAsia" w:ascii="宋体" w:hAnsi="宋体"/>
                <w:szCs w:val="21"/>
              </w:rPr>
            </w:pPr>
            <w:r>
              <w:rPr>
                <w:rFonts w:hint="eastAsia" w:ascii="宋体" w:hAnsi="宋体"/>
                <w:szCs w:val="21"/>
              </w:rPr>
              <w:t>0515－88233070</w:t>
            </w:r>
          </w:p>
          <w:p>
            <w:pPr>
              <w:snapToGrid w:val="0"/>
              <w:spacing w:line="260" w:lineRule="exact"/>
              <w:rPr>
                <w:rFonts w:hint="eastAsia" w:ascii="宋体" w:hAnsi="宋体"/>
                <w:szCs w:val="21"/>
              </w:rPr>
            </w:pPr>
            <w:r>
              <w:rPr>
                <w:rFonts w:hint="eastAsia" w:ascii="宋体" w:hAnsi="宋体"/>
                <w:szCs w:val="21"/>
              </w:rPr>
              <w:t>0515－88233070</w:t>
            </w:r>
          </w:p>
        </w:tc>
        <w:tc>
          <w:tcPr>
            <w:tcW w:w="3825" w:type="dxa"/>
            <w:gridSpan w:val="2"/>
            <w:tcBorders>
              <w:top w:val="single" w:color="auto" w:sz="4" w:space="0"/>
              <w:left w:val="single" w:color="auto" w:sz="4" w:space="0"/>
            </w:tcBorders>
            <w:vAlign w:val="center"/>
          </w:tcPr>
          <w:p>
            <w:pPr>
              <w:snapToGrid w:val="0"/>
              <w:spacing w:line="260" w:lineRule="exact"/>
              <w:rPr>
                <w:rFonts w:hint="eastAsia" w:ascii="宋体" w:hAnsi="宋体"/>
                <w:b/>
                <w:szCs w:val="21"/>
              </w:rPr>
            </w:pPr>
            <w:r>
              <w:rPr>
                <w:rFonts w:hint="eastAsia" w:ascii="宋体" w:hAnsi="宋体"/>
                <w:b/>
                <w:szCs w:val="21"/>
              </w:rPr>
              <w:t>合同编号：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0" w:type="dxa"/>
            <w:vMerge w:val="continue"/>
          </w:tcPr>
          <w:p>
            <w:pPr>
              <w:snapToGrid w:val="0"/>
              <w:spacing w:line="260" w:lineRule="exact"/>
              <w:rPr>
                <w:rFonts w:hint="eastAsia" w:ascii="宋体" w:hAnsi="宋体"/>
                <w:szCs w:val="21"/>
              </w:rPr>
            </w:pPr>
          </w:p>
        </w:tc>
        <w:tc>
          <w:tcPr>
            <w:tcW w:w="1417" w:type="dxa"/>
            <w:vMerge w:val="continue"/>
            <w:tcBorders>
              <w:right w:val="single" w:color="auto" w:sz="4" w:space="0"/>
            </w:tcBorders>
          </w:tcPr>
          <w:p>
            <w:pPr>
              <w:snapToGrid w:val="0"/>
              <w:spacing w:line="260" w:lineRule="exact"/>
              <w:rPr>
                <w:rFonts w:hint="eastAsia" w:ascii="宋体" w:hAnsi="宋体"/>
                <w:szCs w:val="21"/>
              </w:rPr>
            </w:pPr>
          </w:p>
        </w:tc>
        <w:tc>
          <w:tcPr>
            <w:tcW w:w="3686" w:type="dxa"/>
            <w:vMerge w:val="continue"/>
            <w:tcBorders>
              <w:left w:val="single" w:color="auto" w:sz="4" w:space="0"/>
              <w:right w:val="single" w:color="auto" w:sz="4" w:space="0"/>
            </w:tcBorders>
          </w:tcPr>
          <w:p>
            <w:pPr>
              <w:snapToGrid w:val="0"/>
              <w:spacing w:line="260" w:lineRule="exact"/>
              <w:rPr>
                <w:rFonts w:hint="eastAsia" w:ascii="宋体" w:hAnsi="宋体"/>
                <w:szCs w:val="21"/>
              </w:rPr>
            </w:pPr>
          </w:p>
        </w:tc>
        <w:tc>
          <w:tcPr>
            <w:tcW w:w="1239" w:type="dxa"/>
            <w:tcBorders>
              <w:top w:val="nil"/>
              <w:left w:val="single" w:color="auto" w:sz="4" w:space="0"/>
              <w:bottom w:val="nil"/>
              <w:right w:val="nil"/>
            </w:tcBorders>
          </w:tcPr>
          <w:p>
            <w:pPr>
              <w:snapToGrid w:val="0"/>
              <w:spacing w:line="260" w:lineRule="exact"/>
              <w:rPr>
                <w:rFonts w:hint="eastAsia" w:ascii="宋体" w:hAnsi="宋体"/>
                <w:szCs w:val="21"/>
              </w:rPr>
            </w:pPr>
            <w:r>
              <w:rPr>
                <w:rFonts w:hint="eastAsia" w:ascii="宋体" w:hAnsi="宋体"/>
                <w:b/>
                <w:szCs w:val="21"/>
              </w:rPr>
              <w:t>签订地点：</w:t>
            </w:r>
          </w:p>
        </w:tc>
        <w:tc>
          <w:tcPr>
            <w:tcW w:w="2586" w:type="dxa"/>
            <w:tcBorders>
              <w:left w:val="nil"/>
            </w:tcBorders>
          </w:tcPr>
          <w:p>
            <w:pPr>
              <w:snapToGrid w:val="0"/>
              <w:spacing w:line="260" w:lineRule="exact"/>
              <w:jc w:val="center"/>
              <w:rPr>
                <w:rFonts w:hint="eastAsia" w:ascii="宋体" w:hAnsi="宋体"/>
                <w:szCs w:val="21"/>
              </w:rPr>
            </w:pPr>
            <w:r>
              <w:rPr>
                <w:rFonts w:hint="eastAsia" w:ascii="宋体" w:hAnsi="宋体"/>
                <w:szCs w:val="21"/>
              </w:rPr>
              <w:t>江苏盐城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0" w:type="dxa"/>
            <w:vMerge w:val="continue"/>
          </w:tcPr>
          <w:p>
            <w:pPr>
              <w:snapToGrid w:val="0"/>
              <w:spacing w:line="260" w:lineRule="exact"/>
              <w:rPr>
                <w:rFonts w:hint="eastAsia" w:ascii="宋体" w:hAnsi="宋体"/>
                <w:szCs w:val="21"/>
              </w:rPr>
            </w:pPr>
          </w:p>
        </w:tc>
        <w:tc>
          <w:tcPr>
            <w:tcW w:w="1417" w:type="dxa"/>
            <w:vMerge w:val="continue"/>
            <w:tcBorders>
              <w:right w:val="single" w:color="auto" w:sz="4" w:space="0"/>
            </w:tcBorders>
          </w:tcPr>
          <w:p>
            <w:pPr>
              <w:snapToGrid w:val="0"/>
              <w:spacing w:line="260" w:lineRule="exact"/>
              <w:rPr>
                <w:rFonts w:hint="eastAsia" w:ascii="宋体" w:hAnsi="宋体"/>
                <w:szCs w:val="21"/>
              </w:rPr>
            </w:pPr>
          </w:p>
        </w:tc>
        <w:tc>
          <w:tcPr>
            <w:tcW w:w="3686" w:type="dxa"/>
            <w:vMerge w:val="continue"/>
            <w:tcBorders>
              <w:left w:val="single" w:color="auto" w:sz="4" w:space="0"/>
              <w:right w:val="single" w:color="auto" w:sz="4" w:space="0"/>
            </w:tcBorders>
          </w:tcPr>
          <w:p>
            <w:pPr>
              <w:snapToGrid w:val="0"/>
              <w:spacing w:line="260" w:lineRule="exact"/>
              <w:rPr>
                <w:rFonts w:hint="eastAsia" w:ascii="宋体" w:hAnsi="宋体"/>
                <w:szCs w:val="21"/>
              </w:rPr>
            </w:pPr>
          </w:p>
        </w:tc>
        <w:tc>
          <w:tcPr>
            <w:tcW w:w="1239" w:type="dxa"/>
            <w:tcBorders>
              <w:top w:val="nil"/>
              <w:left w:val="single" w:color="auto" w:sz="4" w:space="0"/>
              <w:bottom w:val="nil"/>
              <w:right w:val="nil"/>
            </w:tcBorders>
          </w:tcPr>
          <w:p>
            <w:pPr>
              <w:snapToGrid w:val="0"/>
              <w:spacing w:line="260" w:lineRule="exact"/>
              <w:rPr>
                <w:rFonts w:hint="eastAsia" w:ascii="宋体" w:hAnsi="宋体"/>
                <w:b/>
                <w:szCs w:val="21"/>
              </w:rPr>
            </w:pPr>
            <w:r>
              <w:rPr>
                <w:rFonts w:hint="eastAsia" w:ascii="宋体" w:hAnsi="宋体"/>
                <w:b/>
                <w:szCs w:val="21"/>
              </w:rPr>
              <w:t>签订时间：</w:t>
            </w:r>
          </w:p>
        </w:tc>
        <w:tc>
          <w:tcPr>
            <w:tcW w:w="2586" w:type="dxa"/>
            <w:tcBorders>
              <w:left w:val="nil"/>
            </w:tcBorders>
          </w:tcPr>
          <w:p>
            <w:pPr>
              <w:snapToGrid w:val="0"/>
              <w:spacing w:line="260" w:lineRule="exact"/>
              <w:jc w:val="center"/>
              <w:rPr>
                <w:rFonts w:hint="eastAsia" w:ascii="宋体" w:hAnsi="宋体"/>
                <w:b/>
                <w:szCs w:val="21"/>
              </w:rPr>
            </w:pPr>
            <w:r>
              <w:rPr>
                <w:rFonts w:hint="eastAsia" w:ascii="宋体" w:hAnsi="宋体"/>
                <w:b/>
                <w:szCs w:val="21"/>
              </w:rPr>
              <w:t xml:space="preserve">年 </w:t>
            </w:r>
            <w:r>
              <w:rPr>
                <w:rFonts w:ascii="宋体" w:hAnsi="宋体"/>
                <w:b/>
                <w:szCs w:val="21"/>
              </w:rPr>
              <w:t xml:space="preserve">  </w:t>
            </w:r>
            <w:r>
              <w:rPr>
                <w:rFonts w:hint="eastAsia" w:ascii="宋体" w:hAnsi="宋体"/>
                <w:b/>
                <w:szCs w:val="21"/>
              </w:rPr>
              <w:t>月</w:t>
            </w:r>
            <w:r>
              <w:rPr>
                <w:rFonts w:ascii="宋体" w:hAnsi="宋体"/>
                <w:b/>
                <w:szCs w:val="21"/>
              </w:rPr>
              <w:t xml:space="preserve">   </w:t>
            </w:r>
            <w:r>
              <w:rPr>
                <w:rFonts w:hint="eastAsia" w:ascii="宋体" w:hAnsi="宋体"/>
                <w:b/>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jc w:val="center"/>
        </w:trPr>
        <w:tc>
          <w:tcPr>
            <w:tcW w:w="710" w:type="dxa"/>
            <w:vAlign w:val="center"/>
          </w:tcPr>
          <w:p>
            <w:pPr>
              <w:snapToGrid w:val="0"/>
              <w:spacing w:line="260" w:lineRule="exact"/>
              <w:jc w:val="center"/>
              <w:rPr>
                <w:rFonts w:hint="eastAsia" w:ascii="宋体" w:hAnsi="宋体"/>
                <w:b/>
                <w:bCs/>
                <w:szCs w:val="21"/>
              </w:rPr>
            </w:pPr>
            <w:r>
              <w:rPr>
                <w:rFonts w:hint="eastAsia" w:ascii="宋体" w:hAnsi="宋体"/>
                <w:b/>
                <w:bCs/>
                <w:szCs w:val="21"/>
              </w:rPr>
              <w:t>乙方</w:t>
            </w:r>
          </w:p>
        </w:tc>
        <w:tc>
          <w:tcPr>
            <w:tcW w:w="1417" w:type="dxa"/>
            <w:tcBorders>
              <w:right w:val="single" w:color="auto" w:sz="4" w:space="0"/>
            </w:tcBorders>
            <w:vAlign w:val="center"/>
          </w:tcPr>
          <w:p>
            <w:pPr>
              <w:snapToGrid w:val="0"/>
              <w:spacing w:line="260" w:lineRule="exact"/>
              <w:jc w:val="center"/>
              <w:rPr>
                <w:rFonts w:hint="eastAsia" w:ascii="宋体" w:hAnsi="宋体"/>
                <w:szCs w:val="21"/>
              </w:rPr>
            </w:pPr>
            <w:r>
              <w:rPr>
                <w:rFonts w:hint="eastAsia" w:ascii="宋体" w:hAnsi="宋体"/>
                <w:szCs w:val="21"/>
              </w:rPr>
              <w:t>单位名称：</w:t>
            </w:r>
          </w:p>
          <w:p>
            <w:pPr>
              <w:snapToGrid w:val="0"/>
              <w:spacing w:line="260" w:lineRule="exact"/>
              <w:jc w:val="center"/>
              <w:rPr>
                <w:rFonts w:hint="eastAsia" w:ascii="宋体" w:hAnsi="宋体"/>
                <w:szCs w:val="21"/>
              </w:rPr>
            </w:pPr>
            <w:r>
              <w:rPr>
                <w:rFonts w:hint="eastAsia" w:ascii="宋体" w:hAnsi="宋体"/>
                <w:szCs w:val="21"/>
              </w:rPr>
              <w:t>地　　址：</w:t>
            </w:r>
          </w:p>
          <w:p>
            <w:pPr>
              <w:snapToGrid w:val="0"/>
              <w:spacing w:line="260" w:lineRule="exact"/>
              <w:jc w:val="center"/>
              <w:rPr>
                <w:rFonts w:hint="eastAsia" w:ascii="宋体" w:hAnsi="宋体"/>
                <w:szCs w:val="21"/>
              </w:rPr>
            </w:pPr>
            <w:r>
              <w:rPr>
                <w:rFonts w:hint="eastAsia" w:ascii="宋体" w:hAnsi="宋体"/>
                <w:szCs w:val="21"/>
              </w:rPr>
              <w:t>邮　　编：</w:t>
            </w:r>
          </w:p>
          <w:p>
            <w:pPr>
              <w:snapToGrid w:val="0"/>
              <w:spacing w:line="260" w:lineRule="exact"/>
              <w:jc w:val="center"/>
              <w:rPr>
                <w:rFonts w:hint="eastAsia" w:ascii="宋体" w:hAnsi="宋体"/>
                <w:szCs w:val="21"/>
              </w:rPr>
            </w:pPr>
            <w:r>
              <w:rPr>
                <w:rFonts w:hint="eastAsia" w:ascii="宋体" w:hAnsi="宋体"/>
                <w:szCs w:val="21"/>
              </w:rPr>
              <w:t>电话传真：</w:t>
            </w:r>
          </w:p>
          <w:p>
            <w:pPr>
              <w:snapToGrid w:val="0"/>
              <w:spacing w:line="260" w:lineRule="exact"/>
              <w:jc w:val="center"/>
              <w:rPr>
                <w:rFonts w:hint="eastAsia" w:ascii="宋体" w:hAnsi="宋体"/>
                <w:szCs w:val="21"/>
              </w:rPr>
            </w:pPr>
            <w:r>
              <w:rPr>
                <w:rFonts w:hint="eastAsia" w:ascii="宋体" w:hAnsi="宋体"/>
                <w:szCs w:val="21"/>
              </w:rPr>
              <w:t>开 户 行：</w:t>
            </w:r>
          </w:p>
          <w:p>
            <w:pPr>
              <w:snapToGrid w:val="0"/>
              <w:spacing w:line="260" w:lineRule="exact"/>
              <w:jc w:val="center"/>
              <w:rPr>
                <w:rFonts w:hint="eastAsia" w:ascii="宋体" w:hAnsi="宋体"/>
                <w:szCs w:val="21"/>
              </w:rPr>
            </w:pPr>
            <w:r>
              <w:rPr>
                <w:rFonts w:hint="eastAsia" w:ascii="宋体" w:hAnsi="宋体"/>
                <w:szCs w:val="21"/>
              </w:rPr>
              <w:t>账　　号：</w:t>
            </w:r>
          </w:p>
        </w:tc>
        <w:tc>
          <w:tcPr>
            <w:tcW w:w="7511" w:type="dxa"/>
            <w:gridSpan w:val="3"/>
            <w:tcBorders>
              <w:left w:val="single" w:color="auto" w:sz="4" w:space="0"/>
            </w:tcBorders>
          </w:tcPr>
          <w:p>
            <w:pPr>
              <w:snapToGrid w:val="0"/>
              <w:spacing w:line="260" w:lineRule="exact"/>
              <w:rPr>
                <w:rFonts w:hint="eastAsia" w:ascii="宋体" w:hAnsi="宋体"/>
                <w:b/>
                <w:color w:val="FF0000"/>
                <w:szCs w:val="21"/>
              </w:rPr>
            </w:pPr>
            <w:r>
              <w:rPr>
                <w:rFonts w:hint="eastAsia" w:ascii="宋体" w:hAnsi="宋体"/>
                <w:b/>
                <w:color w:val="FF0000"/>
                <w:szCs w:val="21"/>
              </w:rPr>
              <w:t xml:space="preserve"> </w:t>
            </w:r>
          </w:p>
        </w:tc>
      </w:tr>
    </w:tbl>
    <w:p>
      <w:pPr>
        <w:snapToGrid w:val="0"/>
        <w:spacing w:line="260" w:lineRule="exact"/>
        <w:ind w:firstLine="411" w:firstLineChars="196"/>
        <w:rPr>
          <w:rFonts w:hint="eastAsia" w:ascii="宋体" w:hAnsi="宋体"/>
          <w:bCs/>
          <w:szCs w:val="21"/>
        </w:rPr>
      </w:pPr>
    </w:p>
    <w:p>
      <w:pPr>
        <w:snapToGrid w:val="0"/>
        <w:spacing w:line="260" w:lineRule="exact"/>
        <w:ind w:firstLine="411" w:firstLineChars="196"/>
        <w:rPr>
          <w:rFonts w:hint="eastAsia" w:ascii="宋体" w:hAnsi="宋体"/>
          <w:bCs/>
          <w:szCs w:val="21"/>
        </w:rPr>
      </w:pPr>
      <w:r>
        <w:rPr>
          <w:rFonts w:hint="eastAsia" w:ascii="宋体" w:hAnsi="宋体"/>
          <w:bCs/>
          <w:szCs w:val="21"/>
        </w:rPr>
        <w:t>根据《中华人民共和国民法典》，甲乙双方经友好协商，就甲方向乙方订购如下仪器设备，签订本合同，双方共同遵守执行。</w:t>
      </w:r>
    </w:p>
    <w:p>
      <w:pPr>
        <w:snapToGrid w:val="0"/>
        <w:spacing w:line="260" w:lineRule="exact"/>
        <w:ind w:firstLine="422" w:firstLineChars="200"/>
        <w:rPr>
          <w:rFonts w:hint="eastAsia" w:ascii="宋体" w:hAnsi="宋体"/>
          <w:bCs/>
          <w:szCs w:val="21"/>
        </w:rPr>
      </w:pPr>
      <w:r>
        <w:rPr>
          <w:rFonts w:hint="eastAsia"/>
          <w:b/>
          <w:bCs/>
        </w:rPr>
        <w:t>一、货物清单</w:t>
      </w:r>
    </w:p>
    <w:p>
      <w:pPr>
        <w:spacing w:line="260" w:lineRule="exact"/>
        <w:ind w:firstLine="420" w:firstLineChars="200"/>
        <w:rPr>
          <w:rFonts w:hint="eastAsia" w:ascii="宋体" w:hAnsi="宋体"/>
        </w:rPr>
      </w:pPr>
      <w:r>
        <w:rPr>
          <w:rFonts w:hint="eastAsia" w:ascii="宋体" w:hAnsi="宋体"/>
        </w:rPr>
        <w:t>1</w:t>
      </w:r>
      <w:r>
        <w:rPr>
          <w:rFonts w:ascii="宋体" w:hAnsi="宋体"/>
        </w:rPr>
        <w:t>.1</w:t>
      </w:r>
      <w:r>
        <w:rPr>
          <w:rFonts w:hint="eastAsia" w:ascii="宋体" w:hAnsi="宋体"/>
        </w:rPr>
        <w:t>货物名称、规格型号、数量、单价及合同总价等</w:t>
      </w:r>
    </w:p>
    <w:tbl>
      <w:tblPr>
        <w:tblStyle w:val="6"/>
        <w:tblW w:w="92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1812"/>
        <w:gridCol w:w="1208"/>
        <w:gridCol w:w="709"/>
        <w:gridCol w:w="709"/>
        <w:gridCol w:w="1090"/>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2326" w:type="dxa"/>
            <w:vAlign w:val="center"/>
          </w:tcPr>
          <w:p>
            <w:pPr>
              <w:snapToGrid w:val="0"/>
              <w:spacing w:line="260" w:lineRule="exact"/>
              <w:jc w:val="center"/>
              <w:rPr>
                <w:rFonts w:hint="eastAsia" w:ascii="宋体" w:hAnsi="宋体"/>
                <w:b/>
                <w:szCs w:val="21"/>
              </w:rPr>
            </w:pPr>
            <w:r>
              <w:rPr>
                <w:rFonts w:hint="eastAsia" w:ascii="宋体" w:hAnsi="宋体"/>
                <w:b/>
                <w:szCs w:val="21"/>
              </w:rPr>
              <w:t>设备名称</w:t>
            </w:r>
          </w:p>
        </w:tc>
        <w:tc>
          <w:tcPr>
            <w:tcW w:w="1812" w:type="dxa"/>
            <w:vAlign w:val="center"/>
          </w:tcPr>
          <w:p>
            <w:pPr>
              <w:snapToGrid w:val="0"/>
              <w:spacing w:line="260" w:lineRule="exact"/>
              <w:jc w:val="center"/>
              <w:rPr>
                <w:rFonts w:hint="eastAsia" w:ascii="宋体" w:hAnsi="宋体"/>
                <w:b/>
                <w:szCs w:val="21"/>
              </w:rPr>
            </w:pPr>
            <w:r>
              <w:rPr>
                <w:rFonts w:hint="eastAsia" w:ascii="宋体" w:hAnsi="宋体"/>
                <w:b/>
                <w:szCs w:val="21"/>
              </w:rPr>
              <w:t>型号规格</w:t>
            </w:r>
          </w:p>
        </w:tc>
        <w:tc>
          <w:tcPr>
            <w:tcW w:w="1208" w:type="dxa"/>
            <w:vAlign w:val="center"/>
          </w:tcPr>
          <w:p>
            <w:pPr>
              <w:snapToGrid w:val="0"/>
              <w:spacing w:line="260" w:lineRule="exact"/>
              <w:jc w:val="center"/>
              <w:rPr>
                <w:rFonts w:hint="eastAsia" w:ascii="宋体" w:hAnsi="宋体"/>
                <w:b/>
                <w:szCs w:val="21"/>
              </w:rPr>
            </w:pPr>
            <w:r>
              <w:rPr>
                <w:rFonts w:hint="eastAsia" w:ascii="宋体" w:hAnsi="宋体"/>
                <w:b/>
                <w:szCs w:val="21"/>
              </w:rPr>
              <w:t>品牌</w:t>
            </w:r>
          </w:p>
        </w:tc>
        <w:tc>
          <w:tcPr>
            <w:tcW w:w="709" w:type="dxa"/>
            <w:vAlign w:val="center"/>
          </w:tcPr>
          <w:p>
            <w:pPr>
              <w:snapToGrid w:val="0"/>
              <w:spacing w:line="260" w:lineRule="exact"/>
              <w:jc w:val="center"/>
              <w:rPr>
                <w:rFonts w:hint="eastAsia" w:ascii="宋体" w:hAnsi="宋体"/>
                <w:b/>
                <w:szCs w:val="21"/>
              </w:rPr>
            </w:pPr>
            <w:r>
              <w:rPr>
                <w:rFonts w:hint="eastAsia" w:ascii="宋体" w:hAnsi="宋体"/>
                <w:b/>
                <w:szCs w:val="21"/>
              </w:rPr>
              <w:t>数量</w:t>
            </w:r>
          </w:p>
        </w:tc>
        <w:tc>
          <w:tcPr>
            <w:tcW w:w="709" w:type="dxa"/>
            <w:vAlign w:val="center"/>
          </w:tcPr>
          <w:p>
            <w:pPr>
              <w:snapToGrid w:val="0"/>
              <w:spacing w:line="260" w:lineRule="exact"/>
              <w:jc w:val="center"/>
              <w:rPr>
                <w:rFonts w:hint="eastAsia" w:ascii="宋体" w:hAnsi="宋体"/>
                <w:b/>
                <w:szCs w:val="21"/>
              </w:rPr>
            </w:pPr>
            <w:r>
              <w:rPr>
                <w:rFonts w:hint="eastAsia" w:ascii="宋体" w:hAnsi="宋体"/>
                <w:b/>
                <w:szCs w:val="21"/>
              </w:rPr>
              <w:t>单位</w:t>
            </w:r>
          </w:p>
        </w:tc>
        <w:tc>
          <w:tcPr>
            <w:tcW w:w="1090" w:type="dxa"/>
            <w:vAlign w:val="center"/>
          </w:tcPr>
          <w:p>
            <w:pPr>
              <w:snapToGrid w:val="0"/>
              <w:spacing w:line="260" w:lineRule="exact"/>
              <w:jc w:val="center"/>
              <w:rPr>
                <w:rFonts w:hint="eastAsia" w:ascii="宋体" w:hAnsi="宋体"/>
                <w:b/>
                <w:szCs w:val="21"/>
              </w:rPr>
            </w:pPr>
            <w:r>
              <w:rPr>
                <w:rFonts w:hint="eastAsia" w:ascii="宋体" w:hAnsi="宋体"/>
                <w:b/>
                <w:szCs w:val="21"/>
              </w:rPr>
              <w:t>单价（元）</w:t>
            </w:r>
          </w:p>
        </w:tc>
        <w:tc>
          <w:tcPr>
            <w:tcW w:w="1417" w:type="dxa"/>
            <w:vAlign w:val="center"/>
          </w:tcPr>
          <w:p>
            <w:pPr>
              <w:snapToGrid w:val="0"/>
              <w:spacing w:line="260" w:lineRule="exact"/>
              <w:jc w:val="center"/>
              <w:rPr>
                <w:rFonts w:hint="eastAsia" w:ascii="宋体" w:hAnsi="宋体"/>
                <w:b/>
                <w:szCs w:val="21"/>
              </w:rPr>
            </w:pPr>
            <w:r>
              <w:rPr>
                <w:rFonts w:hint="eastAsia" w:ascii="宋体" w:hAnsi="宋体"/>
                <w:b/>
                <w:szCs w:val="21"/>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2326" w:type="dxa"/>
          </w:tcPr>
          <w:p>
            <w:pPr>
              <w:snapToGrid w:val="0"/>
              <w:spacing w:line="260" w:lineRule="exact"/>
              <w:jc w:val="center"/>
              <w:rPr>
                <w:rFonts w:hint="eastAsia" w:ascii="宋体" w:hAnsi="宋体"/>
                <w:bCs/>
                <w:szCs w:val="21"/>
              </w:rPr>
            </w:pPr>
          </w:p>
        </w:tc>
        <w:tc>
          <w:tcPr>
            <w:tcW w:w="1812" w:type="dxa"/>
          </w:tcPr>
          <w:p>
            <w:pPr>
              <w:snapToGrid w:val="0"/>
              <w:spacing w:line="260" w:lineRule="exact"/>
              <w:jc w:val="center"/>
              <w:rPr>
                <w:rFonts w:hint="eastAsia" w:ascii="宋体" w:hAnsi="宋体"/>
                <w:bCs/>
                <w:szCs w:val="21"/>
              </w:rPr>
            </w:pPr>
          </w:p>
        </w:tc>
        <w:tc>
          <w:tcPr>
            <w:tcW w:w="1208" w:type="dxa"/>
          </w:tcPr>
          <w:p>
            <w:pPr>
              <w:snapToGrid w:val="0"/>
              <w:spacing w:line="260" w:lineRule="exact"/>
              <w:jc w:val="center"/>
              <w:rPr>
                <w:rFonts w:hint="eastAsia" w:ascii="宋体" w:hAnsi="宋体"/>
                <w:bCs/>
                <w:szCs w:val="21"/>
              </w:rPr>
            </w:pPr>
          </w:p>
        </w:tc>
        <w:tc>
          <w:tcPr>
            <w:tcW w:w="709" w:type="dxa"/>
          </w:tcPr>
          <w:p>
            <w:pPr>
              <w:snapToGrid w:val="0"/>
              <w:spacing w:line="260" w:lineRule="exact"/>
              <w:jc w:val="center"/>
              <w:rPr>
                <w:rFonts w:hint="eastAsia" w:ascii="宋体" w:hAnsi="宋体"/>
                <w:bCs/>
                <w:szCs w:val="21"/>
              </w:rPr>
            </w:pPr>
          </w:p>
        </w:tc>
        <w:tc>
          <w:tcPr>
            <w:tcW w:w="709" w:type="dxa"/>
          </w:tcPr>
          <w:p>
            <w:pPr>
              <w:snapToGrid w:val="0"/>
              <w:spacing w:line="260" w:lineRule="exact"/>
              <w:jc w:val="center"/>
              <w:rPr>
                <w:rFonts w:hint="eastAsia" w:ascii="宋体" w:hAnsi="宋体"/>
                <w:bCs/>
                <w:szCs w:val="21"/>
              </w:rPr>
            </w:pPr>
          </w:p>
        </w:tc>
        <w:tc>
          <w:tcPr>
            <w:tcW w:w="1090" w:type="dxa"/>
          </w:tcPr>
          <w:p>
            <w:pPr>
              <w:snapToGrid w:val="0"/>
              <w:spacing w:line="260" w:lineRule="exact"/>
              <w:jc w:val="center"/>
              <w:rPr>
                <w:rFonts w:hint="eastAsia" w:ascii="宋体" w:hAnsi="宋体"/>
                <w:bCs/>
                <w:szCs w:val="21"/>
              </w:rPr>
            </w:pPr>
          </w:p>
        </w:tc>
        <w:tc>
          <w:tcPr>
            <w:tcW w:w="1417" w:type="dxa"/>
          </w:tcPr>
          <w:p>
            <w:pPr>
              <w:snapToGrid w:val="0"/>
              <w:spacing w:line="260" w:lineRule="exact"/>
              <w:jc w:val="center"/>
              <w:rPr>
                <w:rFonts w:hint="eastAsia"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9271" w:type="dxa"/>
            <w:gridSpan w:val="7"/>
            <w:vAlign w:val="center"/>
          </w:tcPr>
          <w:p>
            <w:pPr>
              <w:snapToGrid w:val="0"/>
              <w:spacing w:line="260" w:lineRule="exact"/>
              <w:jc w:val="center"/>
              <w:rPr>
                <w:rFonts w:hint="eastAsia" w:ascii="宋体" w:hAnsi="宋体"/>
                <w:bCs/>
                <w:szCs w:val="21"/>
              </w:rPr>
            </w:pPr>
            <w:r>
              <w:rPr>
                <w:rFonts w:hint="eastAsia" w:ascii="宋体" w:hAnsi="宋体"/>
                <w:b/>
                <w:szCs w:val="21"/>
              </w:rPr>
              <w:t>合同总额：</w:t>
            </w:r>
            <w:r>
              <w:rPr>
                <w:rFonts w:hint="eastAsia" w:ascii="宋体" w:hAnsi="宋体"/>
                <w:bCs/>
                <w:szCs w:val="21"/>
              </w:rPr>
              <w:t xml:space="preserve">人民币 </w:t>
            </w:r>
            <w:r>
              <w:rPr>
                <w:rFonts w:ascii="宋体" w:hAnsi="宋体"/>
                <w:bCs/>
                <w:szCs w:val="21"/>
              </w:rPr>
              <w:t xml:space="preserve">              </w:t>
            </w:r>
            <w:r>
              <w:rPr>
                <w:rFonts w:hint="eastAsia" w:ascii="宋体" w:hAnsi="宋体"/>
                <w:bCs/>
                <w:szCs w:val="21"/>
              </w:rPr>
              <w:t>（¥</w:t>
            </w:r>
            <w:r>
              <w:rPr>
                <w:rFonts w:ascii="宋体" w:hAnsi="宋体"/>
                <w:bCs/>
                <w:szCs w:val="21"/>
              </w:rPr>
              <w:t xml:space="preserve">  .00</w:t>
            </w:r>
            <w:r>
              <w:rPr>
                <w:rFonts w:hint="eastAsia" w:ascii="宋体" w:hAnsi="宋体"/>
                <w:bCs/>
                <w:szCs w:val="21"/>
              </w:rPr>
              <w:t>）</w:t>
            </w:r>
          </w:p>
        </w:tc>
      </w:tr>
    </w:tbl>
    <w:p>
      <w:pPr>
        <w:spacing w:line="260" w:lineRule="exact"/>
        <w:ind w:firstLine="422" w:firstLineChars="200"/>
        <w:rPr>
          <w:b/>
          <w:bCs/>
        </w:rPr>
      </w:pPr>
      <w:r>
        <w:rPr>
          <w:rFonts w:hint="eastAsia"/>
          <w:b/>
          <w:bCs/>
        </w:rPr>
        <w:t>二、货物质量要求</w:t>
      </w:r>
    </w:p>
    <w:p>
      <w:pPr>
        <w:snapToGrid w:val="0"/>
        <w:spacing w:line="260" w:lineRule="exact"/>
        <w:ind w:firstLine="420" w:firstLineChars="200"/>
        <w:rPr>
          <w:rFonts w:hint="eastAsia" w:ascii="宋体" w:hAnsi="宋体"/>
          <w:bCs/>
          <w:szCs w:val="21"/>
        </w:rPr>
      </w:pPr>
      <w:r>
        <w:rPr>
          <w:rFonts w:hint="eastAsia" w:ascii="宋体" w:hAnsi="宋体"/>
          <w:bCs/>
          <w:szCs w:val="21"/>
        </w:rPr>
        <w:t>2</w:t>
      </w:r>
      <w:r>
        <w:rPr>
          <w:rFonts w:ascii="宋体" w:hAnsi="宋体"/>
          <w:bCs/>
          <w:szCs w:val="21"/>
        </w:rPr>
        <w:t>.1</w:t>
      </w:r>
      <w:r>
        <w:rPr>
          <w:rFonts w:hint="eastAsia" w:ascii="宋体" w:hAnsi="宋体"/>
          <w:bCs/>
          <w:szCs w:val="21"/>
        </w:rPr>
        <w:t>乙方提供的货物必须是符合相关的国家和行业标准、符合甲方招标文件技术参数要求、符合乙方的投标文件及承诺、符合产品说明书的质量状况及性能要求的合法全新的合格产品。</w:t>
      </w:r>
    </w:p>
    <w:p>
      <w:pPr>
        <w:spacing w:line="260" w:lineRule="exact"/>
        <w:ind w:left="447" w:leftChars="200" w:hanging="27" w:hangingChars="13"/>
        <w:rPr>
          <w:b/>
          <w:bCs/>
        </w:rPr>
      </w:pPr>
      <w:r>
        <w:rPr>
          <w:rFonts w:hint="eastAsia"/>
          <w:b/>
          <w:bCs/>
          <w:szCs w:val="24"/>
        </w:rPr>
        <w:t>三</w:t>
      </w:r>
      <w:r>
        <w:rPr>
          <w:b/>
          <w:bCs/>
          <w:szCs w:val="24"/>
        </w:rPr>
        <w:t>、</w:t>
      </w:r>
      <w:r>
        <w:rPr>
          <w:rFonts w:hint="eastAsia"/>
          <w:b/>
          <w:bCs/>
        </w:rPr>
        <w:t>货物交付、运费承担</w:t>
      </w:r>
    </w:p>
    <w:p>
      <w:pPr>
        <w:snapToGrid w:val="0"/>
        <w:spacing w:line="260" w:lineRule="exact"/>
        <w:ind w:firstLine="420" w:firstLineChars="200"/>
        <w:rPr>
          <w:rFonts w:hint="eastAsia" w:ascii="宋体" w:hAnsi="宋体"/>
          <w:bCs/>
          <w:szCs w:val="21"/>
        </w:rPr>
      </w:pPr>
      <w:r>
        <w:rPr>
          <w:rFonts w:ascii="宋体" w:hAnsi="宋体"/>
          <w:bCs/>
          <w:szCs w:val="21"/>
        </w:rPr>
        <w:t>3</w:t>
      </w:r>
      <w:r>
        <w:rPr>
          <w:rFonts w:hint="eastAsia" w:ascii="宋体" w:hAnsi="宋体"/>
          <w:bCs/>
          <w:szCs w:val="21"/>
        </w:rPr>
        <w:t>.</w:t>
      </w:r>
      <w:r>
        <w:rPr>
          <w:rFonts w:ascii="宋体" w:hAnsi="宋体"/>
          <w:bCs/>
          <w:szCs w:val="21"/>
        </w:rPr>
        <w:t>1</w:t>
      </w:r>
      <w:r>
        <w:rPr>
          <w:rFonts w:hint="eastAsia" w:ascii="宋体" w:hAnsi="宋体"/>
          <w:bCs/>
          <w:szCs w:val="21"/>
        </w:rPr>
        <w:t>收货地点及收货人：</w:t>
      </w:r>
      <w:r>
        <w:rPr>
          <w:rFonts w:hint="eastAsia" w:ascii="宋体" w:hAnsi="宋体"/>
          <w:bCs/>
          <w:szCs w:val="21"/>
          <w:u w:val="single"/>
        </w:rPr>
        <w:t xml:space="preserve"> 江苏省盐城市希望大道南路2号盐城师范学院 </w:t>
      </w:r>
      <w:r>
        <w:rPr>
          <w:rFonts w:ascii="宋体" w:hAnsi="宋体"/>
          <w:bCs/>
          <w:szCs w:val="21"/>
          <w:u w:val="single"/>
        </w:rPr>
        <w:t xml:space="preserve">                   </w:t>
      </w:r>
      <w:r>
        <w:rPr>
          <w:rFonts w:hint="eastAsia" w:ascii="宋体" w:hAnsi="宋体"/>
          <w:bCs/>
          <w:szCs w:val="21"/>
        </w:rPr>
        <w:t>。</w:t>
      </w:r>
    </w:p>
    <w:p>
      <w:pPr>
        <w:snapToGrid w:val="0"/>
        <w:spacing w:line="260" w:lineRule="exact"/>
        <w:ind w:firstLine="420" w:firstLineChars="200"/>
        <w:rPr>
          <w:rFonts w:hint="eastAsia" w:ascii="宋体" w:hAnsi="宋体"/>
          <w:bCs/>
          <w:szCs w:val="21"/>
        </w:rPr>
      </w:pPr>
      <w:r>
        <w:rPr>
          <w:rFonts w:hint="eastAsia" w:ascii="宋体" w:hAnsi="宋体"/>
          <w:bCs/>
          <w:szCs w:val="21"/>
        </w:rPr>
        <w:t>3</w:t>
      </w:r>
      <w:r>
        <w:rPr>
          <w:rFonts w:ascii="宋体" w:hAnsi="宋体"/>
          <w:bCs/>
          <w:szCs w:val="21"/>
        </w:rPr>
        <w:t>.2</w:t>
      </w:r>
      <w:r>
        <w:rPr>
          <w:rFonts w:hint="eastAsia" w:ascii="宋体" w:hAnsi="宋体"/>
          <w:bCs/>
          <w:szCs w:val="21"/>
        </w:rPr>
        <w:t>交货日期：签订合同后</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天之内。</w:t>
      </w:r>
    </w:p>
    <w:p>
      <w:pPr>
        <w:snapToGrid w:val="0"/>
        <w:spacing w:line="260" w:lineRule="exact"/>
        <w:ind w:firstLine="420" w:firstLineChars="200"/>
        <w:rPr>
          <w:rFonts w:hint="eastAsia" w:ascii="宋体" w:hAnsi="宋体"/>
          <w:bCs/>
          <w:szCs w:val="21"/>
        </w:rPr>
      </w:pPr>
      <w:r>
        <w:rPr>
          <w:rFonts w:hint="eastAsia" w:ascii="宋体" w:hAnsi="宋体"/>
          <w:bCs/>
          <w:szCs w:val="21"/>
        </w:rPr>
        <w:t>3</w:t>
      </w:r>
      <w:r>
        <w:rPr>
          <w:rFonts w:ascii="宋体" w:hAnsi="宋体"/>
          <w:bCs/>
          <w:szCs w:val="21"/>
        </w:rPr>
        <w:t>.3</w:t>
      </w:r>
      <w:r>
        <w:rPr>
          <w:rFonts w:hint="eastAsia" w:ascii="宋体" w:hAnsi="宋体"/>
          <w:bCs/>
          <w:szCs w:val="21"/>
        </w:rPr>
        <w:t>乙方应在交货时同时向甲方提供与本合同项下货物相符且完整的技术资料，技术资料必须以简体中文书写。</w:t>
      </w:r>
    </w:p>
    <w:p>
      <w:pPr>
        <w:snapToGrid w:val="0"/>
        <w:spacing w:line="260" w:lineRule="exact"/>
        <w:ind w:firstLine="420" w:firstLineChars="200"/>
        <w:rPr>
          <w:rFonts w:hint="eastAsia" w:ascii="宋体" w:hAnsi="宋体"/>
          <w:bCs/>
          <w:szCs w:val="21"/>
        </w:rPr>
      </w:pPr>
      <w:r>
        <w:rPr>
          <w:rFonts w:hint="eastAsia" w:ascii="宋体" w:hAnsi="宋体"/>
          <w:bCs/>
          <w:szCs w:val="21"/>
        </w:rPr>
        <w:t>3</w:t>
      </w:r>
      <w:r>
        <w:rPr>
          <w:rFonts w:ascii="宋体" w:hAnsi="宋体"/>
          <w:bCs/>
          <w:szCs w:val="21"/>
        </w:rPr>
        <w:t>.4</w:t>
      </w:r>
      <w:r>
        <w:rPr>
          <w:rFonts w:hint="eastAsia" w:ascii="宋体" w:hAnsi="宋体"/>
          <w:bCs/>
          <w:szCs w:val="21"/>
        </w:rPr>
        <w:t>乙方应保证货物的包装符合运输的要求，保护货物在运输过程中不受锈蚀、损坏或灭失。</w:t>
      </w:r>
    </w:p>
    <w:p>
      <w:pPr>
        <w:snapToGrid w:val="0"/>
        <w:spacing w:line="260" w:lineRule="exact"/>
        <w:ind w:firstLine="420" w:firstLineChars="200"/>
        <w:rPr>
          <w:rFonts w:hint="eastAsia" w:ascii="宋体" w:hAnsi="宋体"/>
          <w:bCs/>
          <w:szCs w:val="21"/>
        </w:rPr>
      </w:pPr>
      <w:r>
        <w:rPr>
          <w:rFonts w:ascii="宋体" w:hAnsi="宋体"/>
          <w:bCs/>
          <w:szCs w:val="21"/>
        </w:rPr>
        <w:t>3.5</w:t>
      </w:r>
      <w:r>
        <w:rPr>
          <w:rFonts w:hint="eastAsia" w:ascii="宋体" w:hAnsi="宋体"/>
          <w:bCs/>
          <w:szCs w:val="21"/>
        </w:rPr>
        <w:t>乙方负责将货物运输至约定的交货地点交付予甲方，并承担运、保费。</w:t>
      </w:r>
    </w:p>
    <w:p>
      <w:pPr>
        <w:spacing w:line="260" w:lineRule="exact"/>
        <w:ind w:left="447" w:leftChars="200" w:hanging="27" w:hangingChars="13"/>
        <w:rPr>
          <w:b/>
          <w:bCs/>
        </w:rPr>
      </w:pPr>
      <w:r>
        <w:rPr>
          <w:rFonts w:hint="eastAsia"/>
          <w:b/>
          <w:bCs/>
          <w:szCs w:val="24"/>
        </w:rPr>
        <w:t>四</w:t>
      </w:r>
      <w:r>
        <w:rPr>
          <w:b/>
          <w:bCs/>
          <w:szCs w:val="24"/>
        </w:rPr>
        <w:t>、</w:t>
      </w:r>
      <w:r>
        <w:rPr>
          <w:rFonts w:hint="eastAsia"/>
          <w:b/>
          <w:bCs/>
        </w:rPr>
        <w:t>安装调试及验收</w:t>
      </w:r>
    </w:p>
    <w:p>
      <w:pPr>
        <w:snapToGrid w:val="0"/>
        <w:spacing w:line="260" w:lineRule="exact"/>
        <w:ind w:firstLine="420" w:firstLineChars="200"/>
        <w:rPr>
          <w:rFonts w:hint="eastAsia" w:ascii="宋体" w:hAnsi="宋体"/>
          <w:bCs/>
          <w:szCs w:val="21"/>
        </w:rPr>
      </w:pPr>
      <w:r>
        <w:rPr>
          <w:rFonts w:hint="eastAsia" w:ascii="宋体" w:hAnsi="宋体"/>
          <w:bCs/>
          <w:szCs w:val="21"/>
        </w:rPr>
        <w:t>4</w:t>
      </w:r>
      <w:r>
        <w:rPr>
          <w:rFonts w:ascii="宋体" w:hAnsi="宋体"/>
          <w:bCs/>
          <w:szCs w:val="21"/>
        </w:rPr>
        <w:t>.1</w:t>
      </w:r>
      <w:r>
        <w:rPr>
          <w:rFonts w:hint="eastAsia" w:ascii="宋体" w:hAnsi="宋体"/>
          <w:bCs/>
          <w:szCs w:val="21"/>
        </w:rPr>
        <w:t>乙方应在协议生效后一周内向甲方提供货物安装准备条件的书面要求。</w:t>
      </w:r>
    </w:p>
    <w:p>
      <w:pPr>
        <w:snapToGrid w:val="0"/>
        <w:spacing w:line="260" w:lineRule="exact"/>
        <w:ind w:firstLine="420" w:firstLineChars="200"/>
        <w:rPr>
          <w:rFonts w:hint="eastAsia" w:ascii="宋体" w:hAnsi="宋体"/>
          <w:bCs/>
          <w:szCs w:val="21"/>
        </w:rPr>
      </w:pPr>
      <w:r>
        <w:rPr>
          <w:rFonts w:ascii="宋体" w:hAnsi="宋体"/>
          <w:bCs/>
          <w:szCs w:val="21"/>
        </w:rPr>
        <w:t>4.2</w:t>
      </w:r>
      <w:r>
        <w:rPr>
          <w:rFonts w:hint="eastAsia" w:ascii="宋体" w:hAnsi="宋体"/>
          <w:bCs/>
          <w:szCs w:val="21"/>
        </w:rPr>
        <w:t>乙方应委派专业技术人员进行现场安装、调试，并提供货物安装调试的一切技术支持。安装调试的具体时间由甲方提前3天通知乙方。</w:t>
      </w:r>
    </w:p>
    <w:p>
      <w:pPr>
        <w:snapToGrid w:val="0"/>
        <w:spacing w:line="260" w:lineRule="exact"/>
        <w:ind w:firstLine="420" w:firstLineChars="200"/>
        <w:rPr>
          <w:rFonts w:hint="eastAsia" w:ascii="宋体" w:hAnsi="宋体"/>
          <w:bCs/>
          <w:szCs w:val="21"/>
        </w:rPr>
      </w:pPr>
      <w:r>
        <w:rPr>
          <w:rFonts w:hint="eastAsia" w:ascii="宋体" w:hAnsi="宋体"/>
          <w:bCs/>
          <w:szCs w:val="21"/>
        </w:rPr>
        <w:t>4</w:t>
      </w:r>
      <w:r>
        <w:rPr>
          <w:rFonts w:ascii="宋体" w:hAnsi="宋体"/>
          <w:bCs/>
          <w:szCs w:val="21"/>
        </w:rPr>
        <w:t>.3</w:t>
      </w:r>
      <w:r>
        <w:rPr>
          <w:rFonts w:hint="eastAsia" w:ascii="宋体" w:hAnsi="宋体"/>
          <w:bCs/>
          <w:szCs w:val="21"/>
        </w:rPr>
        <w:t xml:space="preserve">乙方接甲方通知后3日内安装、调试结束。逾期，按乙方逾期交货处理。 </w:t>
      </w:r>
    </w:p>
    <w:p>
      <w:pPr>
        <w:snapToGrid w:val="0"/>
        <w:spacing w:line="260" w:lineRule="exact"/>
        <w:ind w:firstLine="420" w:firstLineChars="200"/>
        <w:rPr>
          <w:rFonts w:hint="eastAsia" w:ascii="宋体" w:hAnsi="宋体"/>
          <w:bCs/>
          <w:szCs w:val="21"/>
        </w:rPr>
      </w:pPr>
      <w:r>
        <w:rPr>
          <w:rFonts w:hint="eastAsia" w:ascii="宋体" w:hAnsi="宋体"/>
          <w:bCs/>
          <w:szCs w:val="21"/>
        </w:rPr>
        <w:t>4</w:t>
      </w:r>
      <w:r>
        <w:rPr>
          <w:rFonts w:ascii="宋体" w:hAnsi="宋体"/>
          <w:bCs/>
          <w:szCs w:val="21"/>
        </w:rPr>
        <w:t>.4</w:t>
      </w:r>
      <w:r>
        <w:rPr>
          <w:rFonts w:hint="eastAsia" w:ascii="宋体" w:hAnsi="宋体"/>
          <w:bCs/>
          <w:szCs w:val="21"/>
        </w:rPr>
        <w:t>在货物安装调试完毕后，甲方在</w:t>
      </w:r>
      <w:r>
        <w:rPr>
          <w:rFonts w:hint="eastAsia" w:hAnsi="宋体"/>
          <w:bCs/>
          <w:szCs w:val="21"/>
        </w:rPr>
        <w:t>十个工作日内组织</w:t>
      </w:r>
      <w:r>
        <w:rPr>
          <w:rFonts w:hint="eastAsia" w:ascii="宋体" w:hAnsi="宋体"/>
          <w:bCs/>
          <w:szCs w:val="21"/>
        </w:rPr>
        <w:t>对货物进行验收,验收费用由乙方负责提供。</w:t>
      </w:r>
    </w:p>
    <w:p>
      <w:pPr>
        <w:snapToGrid w:val="0"/>
        <w:spacing w:line="260" w:lineRule="exact"/>
        <w:ind w:firstLine="420" w:firstLineChars="200"/>
        <w:rPr>
          <w:rFonts w:hint="eastAsia" w:ascii="宋体" w:hAnsi="宋体"/>
          <w:bCs/>
          <w:szCs w:val="21"/>
        </w:rPr>
      </w:pPr>
      <w:r>
        <w:rPr>
          <w:rFonts w:hint="eastAsia" w:ascii="宋体" w:hAnsi="宋体"/>
          <w:bCs/>
          <w:szCs w:val="21"/>
        </w:rPr>
        <w:t>验收内容包括：</w:t>
      </w:r>
    </w:p>
    <w:p>
      <w:pPr>
        <w:snapToGrid w:val="0"/>
        <w:spacing w:line="260" w:lineRule="exact"/>
        <w:rPr>
          <w:rFonts w:hint="eastAsia" w:ascii="宋体" w:hAnsi="宋体"/>
          <w:bCs/>
          <w:szCs w:val="21"/>
        </w:rPr>
      </w:pPr>
      <w:r>
        <w:rPr>
          <w:rFonts w:hint="eastAsia" w:ascii="宋体" w:hAnsi="宋体"/>
          <w:bCs/>
          <w:szCs w:val="21"/>
        </w:rPr>
        <w:t>(</w:t>
      </w:r>
      <w:r>
        <w:rPr>
          <w:rFonts w:ascii="宋体" w:hAnsi="宋体"/>
          <w:bCs/>
          <w:szCs w:val="21"/>
        </w:rPr>
        <w:t>1)</w:t>
      </w:r>
      <w:r>
        <w:rPr>
          <w:rFonts w:hint="eastAsia" w:ascii="宋体" w:hAnsi="宋体"/>
          <w:bCs/>
          <w:szCs w:val="21"/>
        </w:rPr>
        <w:t>对照合同及装箱单验收货物的型号、数量、及外观；</w:t>
      </w:r>
    </w:p>
    <w:p>
      <w:pPr>
        <w:snapToGrid w:val="0"/>
        <w:spacing w:line="260" w:lineRule="exact"/>
        <w:rPr>
          <w:rFonts w:hint="eastAsia" w:ascii="宋体" w:hAnsi="宋体"/>
          <w:bCs/>
          <w:szCs w:val="21"/>
        </w:rPr>
      </w:pPr>
      <w:r>
        <w:rPr>
          <w:rFonts w:ascii="宋体" w:hAnsi="宋体"/>
          <w:bCs/>
          <w:szCs w:val="21"/>
        </w:rPr>
        <w:t>(2)</w:t>
      </w:r>
      <w:r>
        <w:rPr>
          <w:rFonts w:hint="eastAsia" w:ascii="宋体" w:hAnsi="宋体"/>
          <w:bCs/>
          <w:szCs w:val="21"/>
        </w:rPr>
        <w:t>货物所附技术资料、货物组件及配置；</w:t>
      </w:r>
    </w:p>
    <w:p>
      <w:pPr>
        <w:snapToGrid w:val="0"/>
        <w:spacing w:line="260" w:lineRule="exact"/>
        <w:rPr>
          <w:rFonts w:hint="eastAsia" w:ascii="宋体" w:hAnsi="宋体"/>
          <w:bCs/>
          <w:szCs w:val="21"/>
        </w:rPr>
      </w:pPr>
      <w:r>
        <w:rPr>
          <w:rFonts w:ascii="宋体" w:hAnsi="宋体"/>
          <w:bCs/>
          <w:szCs w:val="21"/>
        </w:rPr>
        <w:t>(3)</w:t>
      </w:r>
      <w:r>
        <w:rPr>
          <w:rFonts w:hint="eastAsia" w:ascii="宋体" w:hAnsi="宋体"/>
          <w:bCs/>
          <w:szCs w:val="21"/>
        </w:rPr>
        <w:t>货物功能、性能及各项技术参数指标；</w:t>
      </w:r>
    </w:p>
    <w:p>
      <w:pPr>
        <w:snapToGrid w:val="0"/>
        <w:spacing w:line="260" w:lineRule="exact"/>
        <w:ind w:firstLine="420" w:firstLineChars="200"/>
        <w:rPr>
          <w:rFonts w:hint="eastAsia" w:ascii="宋体" w:hAnsi="宋体"/>
          <w:bCs/>
          <w:szCs w:val="21"/>
        </w:rPr>
      </w:pPr>
      <w:r>
        <w:rPr>
          <w:rFonts w:ascii="宋体" w:hAnsi="宋体"/>
          <w:bCs/>
          <w:szCs w:val="21"/>
        </w:rPr>
        <w:t>4.5</w:t>
      </w:r>
      <w:r>
        <w:rPr>
          <w:rFonts w:hint="eastAsia" w:ascii="宋体" w:hAnsi="宋体"/>
          <w:bCs/>
          <w:szCs w:val="21"/>
        </w:rPr>
        <w:t>验收标准：按甲方的招标文件的技术要求、乙方投标文件及承诺、产品说明书以及国家相关标准，由甲方组织验收，乙方提交样品的按样品质量标准验收。</w:t>
      </w:r>
    </w:p>
    <w:p>
      <w:pPr>
        <w:snapToGrid w:val="0"/>
        <w:spacing w:line="260" w:lineRule="exact"/>
        <w:ind w:firstLine="420" w:firstLineChars="200"/>
        <w:rPr>
          <w:rFonts w:hint="eastAsia" w:ascii="宋体" w:hAnsi="宋体"/>
          <w:bCs/>
          <w:szCs w:val="21"/>
        </w:rPr>
      </w:pPr>
      <w:r>
        <w:rPr>
          <w:rFonts w:ascii="宋体" w:hAnsi="宋体"/>
          <w:bCs/>
          <w:szCs w:val="21"/>
        </w:rPr>
        <w:t>4.6</w:t>
      </w:r>
      <w:r>
        <w:rPr>
          <w:rFonts w:hint="eastAsia" w:ascii="宋体" w:hAnsi="宋体"/>
          <w:bCs/>
          <w:szCs w:val="21"/>
        </w:rPr>
        <w:t>甲方申购单位验收合格后在验收单上签字确认。</w:t>
      </w:r>
    </w:p>
    <w:p>
      <w:pPr>
        <w:snapToGrid w:val="0"/>
        <w:spacing w:line="260" w:lineRule="exact"/>
        <w:ind w:firstLine="420" w:firstLineChars="200"/>
        <w:rPr>
          <w:rFonts w:hint="eastAsia" w:ascii="宋体" w:hAnsi="宋体"/>
          <w:bCs/>
          <w:szCs w:val="21"/>
        </w:rPr>
      </w:pPr>
      <w:r>
        <w:rPr>
          <w:rFonts w:ascii="宋体" w:hAnsi="宋体"/>
          <w:bCs/>
          <w:szCs w:val="21"/>
        </w:rPr>
        <w:t>4.7</w:t>
      </w:r>
      <w:r>
        <w:rPr>
          <w:rFonts w:hint="eastAsia" w:ascii="宋体" w:hAnsi="宋体"/>
          <w:bCs/>
          <w:szCs w:val="21"/>
        </w:rPr>
        <w:t>甲方在验收中如发现货物不符合合同的约定，有权拒绝接受货物，并在十个工作日内签发拒绝收货通知书。乙方必须在十个工作日内重新提供符合合同约定的货物，逾期，按乙方逾期交货处理。</w:t>
      </w:r>
    </w:p>
    <w:p>
      <w:pPr>
        <w:snapToGrid w:val="0"/>
        <w:spacing w:line="260" w:lineRule="exact"/>
        <w:ind w:firstLine="420" w:firstLineChars="200"/>
        <w:rPr>
          <w:rFonts w:hint="eastAsia" w:ascii="宋体" w:hAnsi="宋体"/>
          <w:bCs/>
          <w:szCs w:val="21"/>
        </w:rPr>
      </w:pPr>
      <w:r>
        <w:rPr>
          <w:rFonts w:ascii="宋体" w:hAnsi="宋体"/>
          <w:bCs/>
          <w:szCs w:val="21"/>
        </w:rPr>
        <w:t>4.8</w:t>
      </w:r>
      <w:r>
        <w:rPr>
          <w:rFonts w:hint="eastAsia" w:ascii="宋体" w:hAnsi="宋体"/>
          <w:bCs/>
          <w:szCs w:val="21"/>
        </w:rPr>
        <w:t>如乙方对验收结果有异议，可以委托甲方所在地商检部门进行复检。商检部门的检验结果表明货物不符合合同约定的，因复检发生的费用由乙方承担；检验结果表明货物符合合同约定的，因复检发生的费用由甲方承担。</w:t>
      </w:r>
    </w:p>
    <w:p>
      <w:pPr>
        <w:spacing w:line="260" w:lineRule="exact"/>
        <w:ind w:firstLine="422" w:firstLineChars="200"/>
        <w:rPr>
          <w:b/>
          <w:bCs/>
        </w:rPr>
      </w:pPr>
      <w:r>
        <w:rPr>
          <w:rFonts w:hint="eastAsia"/>
          <w:b/>
          <w:bCs/>
        </w:rPr>
        <w:t>五、付款方式</w:t>
      </w:r>
    </w:p>
    <w:p>
      <w:pPr>
        <w:snapToGrid w:val="0"/>
        <w:spacing w:line="260" w:lineRule="exact"/>
        <w:ind w:firstLine="420" w:firstLineChars="200"/>
        <w:rPr>
          <w:rFonts w:hint="eastAsia" w:ascii="宋体" w:hAnsi="宋体"/>
          <w:bCs/>
          <w:szCs w:val="21"/>
        </w:rPr>
      </w:pPr>
      <w:r>
        <w:rPr>
          <w:rFonts w:hint="eastAsia" w:ascii="宋体" w:hAnsi="宋体"/>
          <w:bCs/>
          <w:szCs w:val="21"/>
        </w:rPr>
        <w:t>5</w:t>
      </w:r>
      <w:r>
        <w:rPr>
          <w:rFonts w:ascii="宋体" w:hAnsi="宋体"/>
          <w:bCs/>
          <w:szCs w:val="21"/>
        </w:rPr>
        <w:t>.1</w:t>
      </w:r>
      <w:r>
        <w:rPr>
          <w:rFonts w:hint="eastAsia" w:ascii="宋体" w:hAnsi="宋体"/>
          <w:bCs/>
          <w:szCs w:val="21"/>
        </w:rPr>
        <w:t>中标单位所供产品必须保证为正规渠道供货的正宗产品，施工、安装、调试完毕后,经验收合格后10个工作日内，付至合同价的100%。</w:t>
      </w:r>
    </w:p>
    <w:p>
      <w:pPr>
        <w:snapToGrid w:val="0"/>
        <w:spacing w:line="260" w:lineRule="exact"/>
        <w:ind w:firstLine="420" w:firstLineChars="200"/>
        <w:rPr>
          <w:rFonts w:hint="eastAsia" w:ascii="宋体" w:hAnsi="宋体"/>
          <w:bCs/>
          <w:szCs w:val="21"/>
        </w:rPr>
      </w:pPr>
      <w:r>
        <w:rPr>
          <w:rFonts w:hint="eastAsia" w:ascii="宋体" w:hAnsi="宋体"/>
          <w:bCs/>
          <w:szCs w:val="21"/>
        </w:rPr>
        <w:t>5</w:t>
      </w:r>
      <w:r>
        <w:rPr>
          <w:rFonts w:ascii="宋体" w:hAnsi="宋体"/>
          <w:bCs/>
          <w:szCs w:val="21"/>
        </w:rPr>
        <w:t>.2</w:t>
      </w:r>
      <w:r>
        <w:rPr>
          <w:rFonts w:hint="eastAsia" w:ascii="宋体" w:hAnsi="宋体"/>
          <w:bCs/>
          <w:szCs w:val="21"/>
        </w:rPr>
        <w:t>如验收不合格以及发现伪劣产品等，招标人将视其情形采取退货、拒付款、索赔等措施，直至通过质量技术监督部门，依法处理。</w:t>
      </w:r>
    </w:p>
    <w:p>
      <w:pPr>
        <w:snapToGrid w:val="0"/>
        <w:spacing w:line="260" w:lineRule="exact"/>
        <w:ind w:firstLine="422" w:firstLineChars="200"/>
        <w:rPr>
          <w:rFonts w:hint="eastAsia" w:ascii="宋体" w:hAnsi="宋体"/>
          <w:b/>
          <w:szCs w:val="21"/>
        </w:rPr>
      </w:pPr>
      <w:r>
        <w:rPr>
          <w:rFonts w:hint="eastAsia" w:ascii="宋体" w:hAnsi="宋体"/>
          <w:b/>
          <w:szCs w:val="21"/>
        </w:rPr>
        <w:t>六、售后服务条款</w:t>
      </w:r>
    </w:p>
    <w:p>
      <w:pPr>
        <w:snapToGrid w:val="0"/>
        <w:spacing w:line="260" w:lineRule="exact"/>
        <w:ind w:firstLine="420" w:firstLineChars="200"/>
        <w:rPr>
          <w:rFonts w:hint="eastAsia" w:ascii="宋体" w:hAnsi="宋体"/>
          <w:bCs/>
          <w:szCs w:val="21"/>
        </w:rPr>
      </w:pPr>
      <w:r>
        <w:rPr>
          <w:rFonts w:hint="eastAsia" w:ascii="宋体" w:hAnsi="宋体"/>
          <w:bCs/>
          <w:szCs w:val="21"/>
        </w:rPr>
        <w:t>6</w:t>
      </w:r>
      <w:r>
        <w:rPr>
          <w:rFonts w:ascii="宋体" w:hAnsi="宋体"/>
          <w:bCs/>
          <w:szCs w:val="21"/>
        </w:rPr>
        <w:t>.1</w:t>
      </w:r>
      <w:r>
        <w:rPr>
          <w:rFonts w:hint="eastAsia" w:ascii="宋体" w:hAnsi="宋体"/>
          <w:bCs/>
          <w:szCs w:val="21"/>
        </w:rPr>
        <w:t>保修期限：</w:t>
      </w:r>
      <w:r>
        <w:rPr>
          <w:rFonts w:hint="eastAsia"/>
          <w:bCs/>
          <w:szCs w:val="21"/>
        </w:rPr>
        <w:t>乙方承诺本合同项下货物的</w:t>
      </w:r>
      <w:r>
        <w:rPr>
          <w:rFonts w:hint="eastAsia" w:ascii="宋体" w:hAnsi="宋体"/>
          <w:bCs/>
          <w:szCs w:val="21"/>
        </w:rPr>
        <w:t>免费保修期为</w:t>
      </w:r>
      <w:r>
        <w:rPr>
          <w:rFonts w:hAnsi="宋体"/>
          <w:bCs/>
          <w:szCs w:val="21"/>
          <w:u w:val="single"/>
        </w:rPr>
        <w:t xml:space="preserve">    </w:t>
      </w:r>
      <w:r>
        <w:rPr>
          <w:rFonts w:hint="eastAsia" w:hAnsi="宋体"/>
          <w:bCs/>
          <w:szCs w:val="21"/>
        </w:rPr>
        <w:t>年</w:t>
      </w:r>
      <w:r>
        <w:rPr>
          <w:rFonts w:hint="eastAsia" w:ascii="宋体" w:hAnsi="宋体"/>
          <w:bCs/>
          <w:szCs w:val="21"/>
        </w:rPr>
        <w:t>，保修期限自验收合格签字之日起算。</w:t>
      </w:r>
    </w:p>
    <w:p>
      <w:pPr>
        <w:snapToGrid w:val="0"/>
        <w:spacing w:line="260" w:lineRule="exact"/>
        <w:ind w:firstLine="420" w:firstLineChars="200"/>
        <w:rPr>
          <w:rFonts w:hint="eastAsia" w:ascii="宋体" w:hAnsi="宋体"/>
          <w:bCs/>
          <w:szCs w:val="21"/>
          <w:u w:val="single"/>
        </w:rPr>
      </w:pPr>
      <w:r>
        <w:rPr>
          <w:rFonts w:hint="eastAsia" w:ascii="宋体" w:hAnsi="宋体"/>
          <w:bCs/>
          <w:szCs w:val="21"/>
        </w:rPr>
        <w:t>6</w:t>
      </w:r>
      <w:r>
        <w:rPr>
          <w:rFonts w:ascii="宋体" w:hAnsi="宋体"/>
          <w:bCs/>
          <w:szCs w:val="21"/>
        </w:rPr>
        <w:t>.2</w:t>
      </w:r>
      <w:r>
        <w:rPr>
          <w:rFonts w:hint="eastAsia" w:ascii="宋体" w:hAnsi="宋体"/>
          <w:bCs/>
          <w:szCs w:val="21"/>
        </w:rPr>
        <w:t>质量保修范围包括</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，因甲方人为因素出现的故障不在免费保修范围内。</w:t>
      </w:r>
    </w:p>
    <w:p>
      <w:pPr>
        <w:snapToGrid w:val="0"/>
        <w:spacing w:line="260" w:lineRule="exact"/>
        <w:ind w:firstLine="420" w:firstLineChars="200"/>
        <w:rPr>
          <w:rFonts w:hint="eastAsia" w:ascii="宋体" w:hAnsi="宋体"/>
          <w:bCs/>
          <w:szCs w:val="21"/>
        </w:rPr>
      </w:pPr>
      <w:r>
        <w:rPr>
          <w:rFonts w:hint="eastAsia" w:ascii="宋体" w:hAnsi="宋体"/>
          <w:bCs/>
          <w:szCs w:val="21"/>
        </w:rPr>
        <w:t>6</w:t>
      </w:r>
      <w:r>
        <w:rPr>
          <w:rFonts w:ascii="宋体" w:hAnsi="宋体"/>
          <w:bCs/>
          <w:szCs w:val="21"/>
        </w:rPr>
        <w:t>.3</w:t>
      </w:r>
      <w:r>
        <w:rPr>
          <w:rFonts w:hint="eastAsia" w:ascii="宋体" w:hAnsi="宋体"/>
          <w:bCs/>
          <w:szCs w:val="21"/>
        </w:rPr>
        <w:t>质量保修责任：</w:t>
      </w:r>
    </w:p>
    <w:p>
      <w:pPr>
        <w:snapToGrid w:val="0"/>
        <w:spacing w:line="260" w:lineRule="exact"/>
        <w:ind w:left="-120" w:leftChars="-57" w:firstLine="420" w:firstLineChars="200"/>
        <w:rPr>
          <w:rFonts w:hint="eastAsia" w:ascii="宋体" w:hAnsi="宋体"/>
          <w:bCs/>
          <w:szCs w:val="21"/>
        </w:rPr>
      </w:pPr>
      <w:r>
        <w:rPr>
          <w:rFonts w:hint="eastAsia" w:ascii="宋体" w:hAnsi="宋体"/>
          <w:bCs/>
          <w:szCs w:val="21"/>
        </w:rPr>
        <w:t>（1）在保修期内，乙方应在接到甲方通知之日后</w:t>
      </w:r>
      <w:r>
        <w:rPr>
          <w:rFonts w:hint="eastAsia" w:ascii="宋体" w:hAnsi="宋体"/>
          <w:bCs/>
          <w:szCs w:val="21"/>
          <w:u w:val="single"/>
        </w:rPr>
        <w:t xml:space="preserve"> 2</w:t>
      </w:r>
      <w:r>
        <w:rPr>
          <w:rFonts w:hint="eastAsia" w:ascii="宋体" w:hAnsi="宋体"/>
          <w:bCs/>
          <w:szCs w:val="21"/>
        </w:rPr>
        <w:t>天内派人到甲方提供保修服务（包修、包换、包退），并承担所发生的费用。逾期，甲方有权自行委托第三方提供甲方所需要的技术支持和售后服务，所发生的费用由乙方承担，甲方直接从乙方质量保证金内扣除；如因此造成甲方经济损失的，乙方还应承担赔偿责任。</w:t>
      </w:r>
    </w:p>
    <w:p>
      <w:pPr>
        <w:snapToGrid w:val="0"/>
        <w:spacing w:line="260" w:lineRule="exact"/>
        <w:ind w:left="-120" w:leftChars="-57" w:firstLine="420" w:firstLineChars="200"/>
        <w:rPr>
          <w:rFonts w:hint="eastAsia" w:ascii="宋体" w:hAnsi="宋体"/>
          <w:bCs/>
          <w:szCs w:val="21"/>
        </w:rPr>
      </w:pPr>
      <w:r>
        <w:rPr>
          <w:rFonts w:hint="eastAsia" w:ascii="宋体" w:hAnsi="宋体"/>
          <w:bCs/>
          <w:szCs w:val="21"/>
        </w:rPr>
        <w:t>（2）保修期满后，乙方对设备负责终身维护，只收取成本费。</w:t>
      </w:r>
    </w:p>
    <w:p>
      <w:pPr>
        <w:snapToGrid w:val="0"/>
        <w:spacing w:line="260" w:lineRule="exact"/>
        <w:ind w:left="-120" w:leftChars="-57" w:firstLine="420" w:firstLineChars="200"/>
        <w:rPr>
          <w:rFonts w:hint="eastAsia" w:ascii="宋体" w:hAnsi="宋体"/>
          <w:bCs/>
          <w:szCs w:val="21"/>
        </w:rPr>
      </w:pPr>
      <w:r>
        <w:rPr>
          <w:rFonts w:hint="eastAsia" w:ascii="宋体" w:hAnsi="宋体"/>
          <w:bCs/>
          <w:szCs w:val="21"/>
        </w:rPr>
        <w:t>（3）在国家规定的设备合理使用期限内，乙方应确保设备的质量；如因乙方原因致使设备在合理使用期限内造成人身和财产损失的，乙方应承担损害赔偿责任。</w:t>
      </w:r>
    </w:p>
    <w:p>
      <w:pPr>
        <w:snapToGrid w:val="0"/>
        <w:spacing w:line="260" w:lineRule="exact"/>
        <w:ind w:firstLine="420" w:firstLineChars="200"/>
        <w:rPr>
          <w:rFonts w:hint="eastAsia" w:ascii="宋体" w:hAnsi="宋体"/>
          <w:bCs/>
          <w:szCs w:val="21"/>
        </w:rPr>
      </w:pPr>
      <w:r>
        <w:rPr>
          <w:rFonts w:hint="eastAsia" w:ascii="宋体" w:hAnsi="宋体"/>
          <w:bCs/>
          <w:szCs w:val="21"/>
        </w:rPr>
        <w:t>(</w:t>
      </w:r>
      <w:r>
        <w:rPr>
          <w:rFonts w:ascii="宋体" w:hAnsi="宋体"/>
          <w:bCs/>
          <w:szCs w:val="21"/>
        </w:rPr>
        <w:t>4)</w:t>
      </w:r>
      <w:r>
        <w:rPr>
          <w:rFonts w:hint="eastAsia" w:ascii="宋体" w:hAnsi="宋体"/>
          <w:bCs/>
          <w:szCs w:val="21"/>
        </w:rPr>
        <w:t>双方约定的设备保修其他事项：乙方提供维修服务时的人员姓名为</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：联系电话为</w:t>
      </w:r>
      <w:r>
        <w:rPr>
          <w:rFonts w:ascii="宋体" w:hAnsi="宋体"/>
          <w:bCs/>
          <w:szCs w:val="21"/>
          <w:u w:val="single"/>
        </w:rPr>
        <w:t xml:space="preserve">                </w:t>
      </w:r>
      <w:r>
        <w:rPr>
          <w:rFonts w:hint="eastAsia" w:ascii="宋体" w:hAnsi="宋体"/>
          <w:bCs/>
          <w:szCs w:val="21"/>
        </w:rPr>
        <w:t>。乙方如改变维修服务人、联系方法时应及时通知甲方。</w:t>
      </w:r>
    </w:p>
    <w:p>
      <w:pPr>
        <w:snapToGrid w:val="0"/>
        <w:spacing w:line="260" w:lineRule="exact"/>
        <w:ind w:firstLine="422" w:firstLineChars="200"/>
        <w:rPr>
          <w:rFonts w:hint="eastAsia" w:ascii="宋体" w:hAnsi="宋体"/>
          <w:b/>
          <w:szCs w:val="21"/>
        </w:rPr>
      </w:pPr>
      <w:r>
        <w:rPr>
          <w:rFonts w:hint="eastAsia" w:ascii="宋体" w:hAnsi="宋体"/>
          <w:b/>
          <w:szCs w:val="21"/>
        </w:rPr>
        <w:t>七、违约责任</w:t>
      </w:r>
    </w:p>
    <w:p>
      <w:pPr>
        <w:snapToGrid w:val="0"/>
        <w:spacing w:line="260" w:lineRule="exact"/>
        <w:ind w:firstLine="420" w:firstLineChars="200"/>
        <w:rPr>
          <w:rFonts w:hint="eastAsia" w:ascii="宋体" w:hAnsi="宋体"/>
          <w:bCs/>
          <w:szCs w:val="21"/>
        </w:rPr>
      </w:pPr>
      <w:r>
        <w:rPr>
          <w:rFonts w:hint="eastAsia" w:ascii="宋体" w:hAnsi="宋体"/>
          <w:bCs/>
          <w:szCs w:val="21"/>
        </w:rPr>
        <w:t>7</w:t>
      </w:r>
      <w:r>
        <w:rPr>
          <w:rFonts w:ascii="宋体" w:hAnsi="宋体"/>
          <w:bCs/>
          <w:szCs w:val="21"/>
        </w:rPr>
        <w:t>.1</w:t>
      </w:r>
      <w:r>
        <w:rPr>
          <w:rFonts w:hint="eastAsia" w:ascii="宋体" w:hAnsi="宋体"/>
          <w:bCs/>
          <w:szCs w:val="21"/>
        </w:rPr>
        <w:t>甲乙双方均应全面履行本合同，任何一方未能按照本合同的约定履行自己的义务，应当承担违约责任。违约方应当赔偿守约方因此遭受的损失。</w:t>
      </w:r>
    </w:p>
    <w:p>
      <w:pPr>
        <w:snapToGrid w:val="0"/>
        <w:spacing w:line="260" w:lineRule="exact"/>
        <w:ind w:firstLine="420" w:firstLineChars="200"/>
        <w:rPr>
          <w:rFonts w:hint="eastAsia" w:ascii="宋体" w:hAnsi="宋体"/>
          <w:bCs/>
          <w:szCs w:val="21"/>
        </w:rPr>
      </w:pPr>
      <w:r>
        <w:rPr>
          <w:rFonts w:hint="eastAsia" w:ascii="宋体" w:hAnsi="宋体"/>
          <w:szCs w:val="21"/>
        </w:rPr>
        <w:t>7</w:t>
      </w:r>
      <w:r>
        <w:rPr>
          <w:rFonts w:ascii="宋体" w:hAnsi="宋体"/>
          <w:szCs w:val="21"/>
        </w:rPr>
        <w:t>.2</w:t>
      </w:r>
      <w:r>
        <w:rPr>
          <w:rFonts w:hint="eastAsia" w:ascii="宋体" w:hAnsi="宋体"/>
          <w:szCs w:val="21"/>
        </w:rPr>
        <w:t>乙</w:t>
      </w:r>
      <w:r>
        <w:rPr>
          <w:rFonts w:hint="eastAsia" w:ascii="宋体" w:hAnsi="宋体"/>
          <w:bCs/>
          <w:szCs w:val="21"/>
        </w:rPr>
        <w:t>方交付的货物不符合合同规定，甲方除有权按本合同第四条约定处理外，</w:t>
      </w:r>
      <w:r>
        <w:rPr>
          <w:rFonts w:hint="eastAsia" w:ascii="宋体" w:hAnsi="宋体"/>
          <w:szCs w:val="21"/>
        </w:rPr>
        <w:t>乙</w:t>
      </w:r>
      <w:r>
        <w:rPr>
          <w:rFonts w:hint="eastAsia" w:ascii="宋体" w:hAnsi="宋体"/>
          <w:bCs/>
          <w:szCs w:val="21"/>
        </w:rPr>
        <w:t>方还需向甲方支付合同总额的5%违约金，甲方有权直接从应付给乙方的合同款项中扣除该违约金或另向乙方追索。</w:t>
      </w:r>
    </w:p>
    <w:p>
      <w:pPr>
        <w:snapToGrid w:val="0"/>
        <w:spacing w:line="260" w:lineRule="exact"/>
        <w:ind w:firstLine="420" w:firstLineChars="200"/>
        <w:rPr>
          <w:rFonts w:hint="eastAsia" w:ascii="宋体" w:hAnsi="宋体"/>
          <w:bCs/>
          <w:szCs w:val="21"/>
        </w:rPr>
      </w:pPr>
      <w:r>
        <w:rPr>
          <w:rFonts w:ascii="宋体" w:hAnsi="宋体"/>
          <w:bCs/>
          <w:szCs w:val="21"/>
        </w:rPr>
        <w:t>7.3</w:t>
      </w:r>
      <w:r>
        <w:rPr>
          <w:rFonts w:hint="eastAsia" w:ascii="宋体" w:hAnsi="宋体"/>
          <w:bCs/>
          <w:szCs w:val="21"/>
        </w:rPr>
        <w:t>甲方逾期支付货款的，自逾期之日起每天按应付金额的3‰向</w:t>
      </w:r>
      <w:r>
        <w:rPr>
          <w:rFonts w:hint="eastAsia" w:ascii="宋体" w:hAnsi="宋体"/>
          <w:szCs w:val="21"/>
        </w:rPr>
        <w:t>乙</w:t>
      </w:r>
      <w:r>
        <w:rPr>
          <w:rFonts w:hint="eastAsia" w:ascii="宋体" w:hAnsi="宋体"/>
          <w:bCs/>
          <w:szCs w:val="21"/>
        </w:rPr>
        <w:t>方支付违约金，违约金最高不超过合同总额的5%。</w:t>
      </w:r>
    </w:p>
    <w:p>
      <w:pPr>
        <w:snapToGrid w:val="0"/>
        <w:spacing w:line="260" w:lineRule="exact"/>
        <w:ind w:firstLine="420" w:firstLineChars="200"/>
        <w:rPr>
          <w:rFonts w:hint="eastAsia" w:ascii="宋体" w:hAnsi="宋体"/>
          <w:bCs/>
          <w:szCs w:val="21"/>
        </w:rPr>
      </w:pPr>
      <w:r>
        <w:rPr>
          <w:rFonts w:ascii="宋体" w:hAnsi="宋体"/>
          <w:szCs w:val="21"/>
        </w:rPr>
        <w:t>7.4</w:t>
      </w:r>
      <w:r>
        <w:rPr>
          <w:rFonts w:hint="eastAsia" w:ascii="宋体" w:hAnsi="宋体"/>
          <w:szCs w:val="21"/>
        </w:rPr>
        <w:t>乙</w:t>
      </w:r>
      <w:r>
        <w:rPr>
          <w:rFonts w:hint="eastAsia" w:ascii="宋体" w:hAnsi="宋体"/>
          <w:bCs/>
          <w:szCs w:val="21"/>
        </w:rPr>
        <w:t>方逾期交付货物的，自逾期之日起每天按合同总额的3‰向甲方支付违约金，甲方有权直接从应付给乙方的合同款项中扣除该违约金。逾期交付货物超过15天，甲方有权解除合同，乙方赔偿由此给甲方造成的全部经济损失。</w:t>
      </w:r>
    </w:p>
    <w:p>
      <w:pPr>
        <w:snapToGrid w:val="0"/>
        <w:spacing w:line="260" w:lineRule="exact"/>
        <w:ind w:left="447" w:leftChars="200" w:hanging="27" w:hangingChars="13"/>
        <w:rPr>
          <w:rFonts w:hint="eastAsia" w:ascii="宋体" w:hAnsi="宋体"/>
          <w:b/>
          <w:szCs w:val="21"/>
        </w:rPr>
      </w:pPr>
      <w:r>
        <w:rPr>
          <w:rFonts w:ascii="宋体" w:hAnsi="宋体"/>
          <w:b/>
          <w:szCs w:val="21"/>
        </w:rPr>
        <w:t>八、</w:t>
      </w:r>
      <w:r>
        <w:rPr>
          <w:rFonts w:hint="eastAsia" w:ascii="宋体" w:hAnsi="宋体"/>
          <w:b/>
          <w:szCs w:val="21"/>
        </w:rPr>
        <w:t>风险承担</w:t>
      </w:r>
    </w:p>
    <w:p>
      <w:pPr>
        <w:snapToGrid w:val="0"/>
        <w:spacing w:line="260" w:lineRule="exact"/>
        <w:ind w:firstLine="420" w:firstLineChars="200"/>
        <w:rPr>
          <w:bCs/>
          <w:szCs w:val="21"/>
        </w:rPr>
      </w:pPr>
      <w:r>
        <w:rPr>
          <w:rFonts w:hint="eastAsia"/>
          <w:bCs/>
          <w:szCs w:val="21"/>
        </w:rPr>
        <w:t>8</w:t>
      </w:r>
      <w:r>
        <w:rPr>
          <w:bCs/>
          <w:szCs w:val="21"/>
        </w:rPr>
        <w:t>.1</w:t>
      </w:r>
      <w:r>
        <w:rPr>
          <w:rFonts w:hint="eastAsia"/>
          <w:bCs/>
          <w:szCs w:val="21"/>
        </w:rPr>
        <w:t>货物毁损、灭失的风险，在货物经甲方验收合格以前由乙方承担，在货物经甲方验收合格以后由甲方承担。</w:t>
      </w:r>
    </w:p>
    <w:p>
      <w:pPr>
        <w:snapToGrid w:val="0"/>
        <w:spacing w:line="260" w:lineRule="exact"/>
        <w:ind w:firstLine="420" w:firstLineChars="200"/>
        <w:rPr>
          <w:bCs/>
          <w:szCs w:val="21"/>
        </w:rPr>
      </w:pPr>
      <w:r>
        <w:rPr>
          <w:bCs/>
          <w:szCs w:val="21"/>
        </w:rPr>
        <w:t>8.2</w:t>
      </w:r>
      <w:r>
        <w:rPr>
          <w:rFonts w:hint="eastAsia"/>
          <w:bCs/>
          <w:szCs w:val="21"/>
        </w:rPr>
        <w:t>甲方因货物质量不符合约定的质量要求而拒绝接受货物或解除合同的，货物毁损、灭失的风险由乙方承担。</w:t>
      </w:r>
    </w:p>
    <w:p>
      <w:pPr>
        <w:snapToGrid w:val="0"/>
        <w:spacing w:line="260" w:lineRule="exact"/>
        <w:ind w:firstLine="420" w:firstLineChars="200"/>
        <w:rPr>
          <w:bCs/>
          <w:szCs w:val="21"/>
        </w:rPr>
      </w:pPr>
      <w:r>
        <w:rPr>
          <w:bCs/>
          <w:szCs w:val="21"/>
        </w:rPr>
        <w:t>8.3</w:t>
      </w:r>
      <w:r>
        <w:rPr>
          <w:rFonts w:hint="eastAsia"/>
          <w:bCs/>
          <w:szCs w:val="21"/>
        </w:rPr>
        <w:t>货物毁损、灭失的风险由甲方承担的，不影响因乙方履行合同义务不符合约定甲方要求其承担违约责任的权利。</w:t>
      </w:r>
    </w:p>
    <w:p>
      <w:pPr>
        <w:snapToGrid w:val="0"/>
        <w:spacing w:line="260" w:lineRule="exact"/>
        <w:ind w:firstLine="420" w:firstLineChars="200"/>
        <w:rPr>
          <w:bCs/>
          <w:szCs w:val="21"/>
        </w:rPr>
      </w:pPr>
      <w:r>
        <w:rPr>
          <w:bCs/>
          <w:szCs w:val="21"/>
        </w:rPr>
        <w:t>8.4</w:t>
      </w:r>
      <w:r>
        <w:rPr>
          <w:rFonts w:hint="eastAsia"/>
          <w:bCs/>
          <w:szCs w:val="21"/>
        </w:rPr>
        <w:t>由</w:t>
      </w:r>
      <w:r>
        <w:rPr>
          <w:rFonts w:hint="eastAsia" w:ascii="宋体" w:hAnsi="宋体"/>
          <w:bCs/>
          <w:szCs w:val="21"/>
        </w:rPr>
        <w:t>乙方</w:t>
      </w:r>
      <w:r>
        <w:rPr>
          <w:rFonts w:hint="eastAsia"/>
          <w:bCs/>
          <w:szCs w:val="21"/>
        </w:rPr>
        <w:t>承担货物毁损、灭失风险的，如货物毁损或灭失的，乙方应于</w:t>
      </w:r>
      <w:r>
        <w:rPr>
          <w:bCs/>
          <w:szCs w:val="21"/>
        </w:rPr>
        <w:t>20</w:t>
      </w:r>
      <w:r>
        <w:rPr>
          <w:rFonts w:hint="eastAsia"/>
          <w:bCs/>
          <w:szCs w:val="21"/>
        </w:rPr>
        <w:t>天内重新提供符合合同规定的货物，否则，按乙方逾期交货处理。</w:t>
      </w:r>
    </w:p>
    <w:p>
      <w:pPr>
        <w:snapToGrid w:val="0"/>
        <w:spacing w:line="260" w:lineRule="exact"/>
        <w:ind w:firstLine="422" w:firstLineChars="200"/>
        <w:rPr>
          <w:rFonts w:hint="eastAsia" w:ascii="宋体" w:hAnsi="宋体"/>
          <w:b/>
          <w:szCs w:val="21"/>
        </w:rPr>
      </w:pPr>
      <w:r>
        <w:rPr>
          <w:rFonts w:hint="eastAsia" w:ascii="宋体" w:hAnsi="宋体"/>
          <w:b/>
          <w:szCs w:val="21"/>
        </w:rPr>
        <w:t>九、争议解决</w:t>
      </w:r>
    </w:p>
    <w:p>
      <w:pPr>
        <w:snapToGrid w:val="0"/>
        <w:spacing w:line="260" w:lineRule="exact"/>
        <w:ind w:left="-120" w:leftChars="-57" w:firstLine="630" w:firstLineChars="300"/>
        <w:rPr>
          <w:rFonts w:hint="eastAsia" w:ascii="宋体" w:hAnsi="宋体"/>
          <w:bCs/>
          <w:szCs w:val="21"/>
        </w:rPr>
      </w:pPr>
      <w:r>
        <w:rPr>
          <w:rFonts w:hint="eastAsia" w:ascii="宋体" w:hAnsi="宋体"/>
          <w:bCs/>
          <w:szCs w:val="21"/>
        </w:rPr>
        <w:t>9</w:t>
      </w:r>
      <w:r>
        <w:rPr>
          <w:rFonts w:ascii="宋体" w:hAnsi="宋体"/>
          <w:bCs/>
          <w:szCs w:val="21"/>
        </w:rPr>
        <w:t>.1</w:t>
      </w:r>
      <w:r>
        <w:rPr>
          <w:rFonts w:hint="eastAsia" w:ascii="宋体" w:hAnsi="宋体"/>
          <w:bCs/>
          <w:szCs w:val="21"/>
        </w:rPr>
        <w:t>合同发生争议，由双方协商或调解解决；协商或调解不成时，向甲方所在地人民法院起诉解决。</w:t>
      </w:r>
    </w:p>
    <w:p>
      <w:pPr>
        <w:snapToGrid w:val="0"/>
        <w:spacing w:line="260" w:lineRule="exact"/>
        <w:ind w:firstLine="422" w:firstLineChars="200"/>
        <w:rPr>
          <w:rFonts w:hint="eastAsia" w:ascii="宋体" w:hAnsi="宋体"/>
          <w:b/>
          <w:szCs w:val="21"/>
        </w:rPr>
      </w:pPr>
      <w:r>
        <w:rPr>
          <w:rFonts w:hint="eastAsia" w:ascii="宋体" w:hAnsi="宋体"/>
          <w:b/>
          <w:szCs w:val="21"/>
        </w:rPr>
        <w:t>十、其他</w:t>
      </w:r>
    </w:p>
    <w:p>
      <w:pPr>
        <w:snapToGrid w:val="0"/>
        <w:spacing w:line="260" w:lineRule="exact"/>
        <w:ind w:firstLine="420" w:firstLineChars="200"/>
        <w:rPr>
          <w:rFonts w:hint="eastAsia" w:ascii="宋体" w:hAnsi="宋体"/>
          <w:bCs/>
          <w:szCs w:val="21"/>
        </w:rPr>
      </w:pPr>
      <w:r>
        <w:rPr>
          <w:rFonts w:hint="eastAsia" w:ascii="宋体" w:hAnsi="宋体"/>
          <w:bCs/>
          <w:szCs w:val="21"/>
        </w:rPr>
        <w:t>1</w:t>
      </w:r>
      <w:r>
        <w:rPr>
          <w:rFonts w:ascii="宋体" w:hAnsi="宋体"/>
          <w:bCs/>
          <w:szCs w:val="21"/>
        </w:rPr>
        <w:t>0.1</w:t>
      </w:r>
      <w:r>
        <w:rPr>
          <w:rFonts w:hint="eastAsia" w:ascii="宋体" w:hAnsi="宋体"/>
          <w:bCs/>
          <w:szCs w:val="21"/>
        </w:rPr>
        <w:t>本合同一式4份(甲方2份；乙方2份)，均为正本，与合同附件、甲方询价文件、乙方报价文件及报价承诺作为合同的共同组成，具有同等法律效力。</w:t>
      </w:r>
    </w:p>
    <w:p>
      <w:pPr>
        <w:snapToGrid w:val="0"/>
        <w:spacing w:line="260" w:lineRule="exact"/>
        <w:ind w:firstLine="420" w:firstLineChars="200"/>
        <w:rPr>
          <w:rFonts w:hint="eastAsia" w:ascii="宋体" w:hAnsi="宋体"/>
          <w:bCs/>
          <w:szCs w:val="21"/>
        </w:rPr>
      </w:pPr>
      <w:r>
        <w:rPr>
          <w:rFonts w:hint="eastAsia" w:ascii="宋体" w:hAnsi="宋体"/>
          <w:bCs/>
          <w:szCs w:val="21"/>
        </w:rPr>
        <w:t>1</w:t>
      </w:r>
      <w:r>
        <w:rPr>
          <w:rFonts w:ascii="宋体" w:hAnsi="宋体"/>
          <w:bCs/>
          <w:szCs w:val="21"/>
        </w:rPr>
        <w:t>0.2</w:t>
      </w:r>
      <w:r>
        <w:rPr>
          <w:rFonts w:hint="eastAsia" w:ascii="宋体" w:hAnsi="宋体"/>
          <w:bCs/>
          <w:szCs w:val="21"/>
        </w:rPr>
        <w:t>本合同以双方签字并加盖单位印章之日起生效。</w:t>
      </w:r>
    </w:p>
    <w:p>
      <w:pPr>
        <w:snapToGrid w:val="0"/>
        <w:spacing w:line="260" w:lineRule="exact"/>
        <w:ind w:firstLine="420" w:firstLineChars="200"/>
        <w:rPr>
          <w:rFonts w:hint="eastAsia" w:ascii="宋体" w:hAnsi="宋体"/>
          <w:bCs/>
          <w:szCs w:val="21"/>
        </w:rPr>
      </w:pPr>
      <w:r>
        <w:rPr>
          <w:rFonts w:hint="eastAsia" w:ascii="宋体" w:hAnsi="宋体"/>
          <w:bCs/>
          <w:szCs w:val="21"/>
        </w:rPr>
        <w:t>1</w:t>
      </w:r>
      <w:r>
        <w:rPr>
          <w:rFonts w:ascii="宋体" w:hAnsi="宋体"/>
          <w:bCs/>
          <w:szCs w:val="21"/>
        </w:rPr>
        <w:t>0.3本合同未尽事宜，遵照《中华人民共和国民法典》相关规定执行。</w:t>
      </w:r>
    </w:p>
    <w:p>
      <w:pPr>
        <w:snapToGrid w:val="0"/>
        <w:spacing w:line="260" w:lineRule="exact"/>
        <w:ind w:firstLine="420" w:firstLineChars="200"/>
        <w:rPr>
          <w:rFonts w:hint="eastAsia" w:ascii="宋体" w:hAnsi="宋体"/>
          <w:bCs/>
          <w:szCs w:val="21"/>
        </w:rPr>
      </w:pPr>
    </w:p>
    <w:tbl>
      <w:tblPr>
        <w:tblStyle w:val="6"/>
        <w:tblW w:w="9556"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906"/>
        <w:gridCol w:w="46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29" w:hRule="atLeast"/>
        </w:trPr>
        <w:tc>
          <w:tcPr>
            <w:tcW w:w="4906" w:type="dxa"/>
            <w:vAlign w:val="center"/>
          </w:tcPr>
          <w:p>
            <w:pPr>
              <w:pStyle w:val="11"/>
              <w:snapToGrid w:val="0"/>
              <w:spacing w:line="260" w:lineRule="exact"/>
              <w:jc w:val="center"/>
              <w:rPr>
                <w:rFonts w:hint="eastAsia" w:hAnsi="宋体"/>
                <w:szCs w:val="21"/>
              </w:rPr>
            </w:pPr>
            <w:r>
              <w:rPr>
                <w:rFonts w:hint="eastAsia" w:hAnsi="宋体"/>
                <w:szCs w:val="21"/>
              </w:rPr>
              <w:t>甲    方</w:t>
            </w:r>
          </w:p>
        </w:tc>
        <w:tc>
          <w:tcPr>
            <w:tcW w:w="4650" w:type="dxa"/>
            <w:vAlign w:val="center"/>
          </w:tcPr>
          <w:p>
            <w:pPr>
              <w:pStyle w:val="11"/>
              <w:snapToGrid w:val="0"/>
              <w:spacing w:line="260" w:lineRule="exact"/>
              <w:jc w:val="center"/>
              <w:rPr>
                <w:rFonts w:hint="eastAsia" w:hAnsi="宋体"/>
                <w:szCs w:val="21"/>
              </w:rPr>
            </w:pPr>
            <w:r>
              <w:rPr>
                <w:rFonts w:hint="eastAsia" w:hAnsi="宋体"/>
                <w:szCs w:val="21"/>
              </w:rPr>
              <w:t>乙    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665" w:hRule="atLeast"/>
        </w:trPr>
        <w:tc>
          <w:tcPr>
            <w:tcW w:w="4906" w:type="dxa"/>
          </w:tcPr>
          <w:p>
            <w:pPr>
              <w:pStyle w:val="11"/>
              <w:snapToGrid w:val="0"/>
              <w:spacing w:line="260" w:lineRule="exact"/>
              <w:rPr>
                <w:rFonts w:hint="eastAsia" w:hAnsi="宋体"/>
                <w:szCs w:val="21"/>
              </w:rPr>
            </w:pPr>
            <w:r>
              <w:rPr>
                <w:rFonts w:hint="eastAsia" w:hAnsi="宋体"/>
                <w:szCs w:val="21"/>
              </w:rPr>
              <w:t>单位名称（盖章）：盐城师范学院</w:t>
            </w:r>
          </w:p>
          <w:p>
            <w:pPr>
              <w:pStyle w:val="11"/>
              <w:snapToGrid w:val="0"/>
              <w:spacing w:line="260" w:lineRule="exact"/>
              <w:rPr>
                <w:rFonts w:hint="eastAsia" w:hAnsi="宋体"/>
                <w:szCs w:val="21"/>
              </w:rPr>
            </w:pPr>
          </w:p>
          <w:p>
            <w:pPr>
              <w:pStyle w:val="11"/>
              <w:snapToGrid w:val="0"/>
              <w:spacing w:line="260" w:lineRule="exact"/>
              <w:rPr>
                <w:rFonts w:hint="eastAsia" w:hAnsi="宋体"/>
                <w:szCs w:val="21"/>
              </w:rPr>
            </w:pPr>
            <w:r>
              <w:rPr>
                <w:rFonts w:hint="eastAsia" w:hAnsi="宋体"/>
                <w:szCs w:val="21"/>
              </w:rPr>
              <w:t>申购单位技术代表（签名）：</w:t>
            </w:r>
          </w:p>
          <w:p>
            <w:pPr>
              <w:pStyle w:val="11"/>
              <w:snapToGrid w:val="0"/>
              <w:spacing w:line="260" w:lineRule="exact"/>
              <w:rPr>
                <w:rFonts w:hint="eastAsia" w:hAnsi="宋体"/>
                <w:szCs w:val="21"/>
              </w:rPr>
            </w:pPr>
          </w:p>
          <w:p>
            <w:pPr>
              <w:pStyle w:val="11"/>
              <w:snapToGrid w:val="0"/>
              <w:spacing w:line="260" w:lineRule="exact"/>
              <w:rPr>
                <w:rFonts w:hint="eastAsia" w:hAnsi="宋体"/>
                <w:szCs w:val="21"/>
              </w:rPr>
            </w:pPr>
            <w:r>
              <w:rPr>
                <w:rFonts w:hint="eastAsia" w:hAnsi="宋体"/>
                <w:szCs w:val="21"/>
              </w:rPr>
              <w:t>申购单位负责人（签名）：</w:t>
            </w:r>
          </w:p>
          <w:p>
            <w:pPr>
              <w:pStyle w:val="11"/>
              <w:snapToGrid w:val="0"/>
              <w:spacing w:line="260" w:lineRule="exact"/>
              <w:rPr>
                <w:rFonts w:hint="eastAsia" w:hAnsi="宋体"/>
                <w:szCs w:val="21"/>
              </w:rPr>
            </w:pPr>
          </w:p>
          <w:p>
            <w:pPr>
              <w:pStyle w:val="11"/>
              <w:snapToGrid w:val="0"/>
              <w:spacing w:line="260" w:lineRule="exact"/>
              <w:rPr>
                <w:rFonts w:hint="eastAsia" w:hAnsi="宋体"/>
                <w:szCs w:val="21"/>
              </w:rPr>
            </w:pPr>
            <w:r>
              <w:rPr>
                <w:rFonts w:hint="eastAsia" w:hAnsi="宋体"/>
                <w:szCs w:val="21"/>
              </w:rPr>
              <w:t>合同审核人（签名）：</w:t>
            </w:r>
          </w:p>
        </w:tc>
        <w:tc>
          <w:tcPr>
            <w:tcW w:w="4650" w:type="dxa"/>
          </w:tcPr>
          <w:p>
            <w:pPr>
              <w:pStyle w:val="11"/>
              <w:snapToGrid w:val="0"/>
              <w:spacing w:line="260" w:lineRule="exact"/>
              <w:rPr>
                <w:rFonts w:hint="eastAsia" w:hAnsi="宋体"/>
                <w:szCs w:val="21"/>
              </w:rPr>
            </w:pPr>
            <w:r>
              <w:rPr>
                <w:rFonts w:hint="eastAsia" w:hAnsi="宋体"/>
                <w:szCs w:val="21"/>
              </w:rPr>
              <w:t>单位名称（盖章）：</w:t>
            </w:r>
          </w:p>
          <w:p>
            <w:pPr>
              <w:pStyle w:val="11"/>
              <w:snapToGrid w:val="0"/>
              <w:spacing w:line="260" w:lineRule="exact"/>
              <w:rPr>
                <w:rFonts w:hint="eastAsia" w:hAnsi="宋体"/>
                <w:szCs w:val="21"/>
              </w:rPr>
            </w:pPr>
          </w:p>
          <w:p>
            <w:pPr>
              <w:pStyle w:val="11"/>
              <w:snapToGrid w:val="0"/>
              <w:spacing w:line="260" w:lineRule="exact"/>
              <w:rPr>
                <w:rFonts w:hint="eastAsia" w:hAnsi="宋体"/>
                <w:szCs w:val="21"/>
              </w:rPr>
            </w:pPr>
            <w:r>
              <w:rPr>
                <w:rFonts w:hint="eastAsia" w:hAnsi="宋体"/>
                <w:szCs w:val="21"/>
              </w:rPr>
              <w:t>法人代表或委托代理人（签名）：</w:t>
            </w:r>
          </w:p>
          <w:p>
            <w:pPr>
              <w:pStyle w:val="11"/>
              <w:snapToGrid w:val="0"/>
              <w:spacing w:line="260" w:lineRule="exact"/>
              <w:rPr>
                <w:rFonts w:hint="eastAsia" w:hAnsi="宋体"/>
                <w:szCs w:val="21"/>
              </w:rPr>
            </w:pPr>
          </w:p>
          <w:p>
            <w:pPr>
              <w:pStyle w:val="11"/>
              <w:snapToGrid w:val="0"/>
              <w:spacing w:line="260" w:lineRule="exact"/>
              <w:rPr>
                <w:rFonts w:hint="eastAsia" w:hAnsi="宋体"/>
                <w:szCs w:val="21"/>
              </w:rPr>
            </w:pPr>
          </w:p>
          <w:p>
            <w:pPr>
              <w:pStyle w:val="11"/>
              <w:snapToGrid w:val="0"/>
              <w:spacing w:line="260" w:lineRule="exact"/>
              <w:rPr>
                <w:rFonts w:hint="eastAsia" w:hAnsi="宋体"/>
                <w:szCs w:val="21"/>
              </w:rPr>
            </w:pPr>
          </w:p>
        </w:tc>
      </w:tr>
    </w:tbl>
    <w:p>
      <w:pPr>
        <w:jc w:val="left"/>
        <w:rPr>
          <w:rStyle w:val="8"/>
          <w:rFonts w:hint="eastAsia" w:ascii="微软雅黑" w:hAnsi="微软雅黑" w:eastAsia="微软雅黑" w:cs="微软雅黑"/>
          <w:color w:val="333333"/>
          <w:sz w:val="24"/>
          <w:szCs w:val="24"/>
          <w:shd w:val="clear" w:color="auto" w:fill="FFFFFF"/>
        </w:rPr>
      </w:pPr>
    </w:p>
    <w:p/>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zMWVhODZjZTBjNTk0ZjZhMTZjMjc3NDVhZjE0YmEifQ=="/>
  </w:docVars>
  <w:rsids>
    <w:rsidRoot w:val="00627B92"/>
    <w:rsid w:val="000010D3"/>
    <w:rsid w:val="00007A29"/>
    <w:rsid w:val="0001267B"/>
    <w:rsid w:val="00016787"/>
    <w:rsid w:val="00016B3A"/>
    <w:rsid w:val="00024552"/>
    <w:rsid w:val="00036785"/>
    <w:rsid w:val="00041DE2"/>
    <w:rsid w:val="000429EC"/>
    <w:rsid w:val="00045B7A"/>
    <w:rsid w:val="00052197"/>
    <w:rsid w:val="00052383"/>
    <w:rsid w:val="00054376"/>
    <w:rsid w:val="00054852"/>
    <w:rsid w:val="00054FE9"/>
    <w:rsid w:val="000566A5"/>
    <w:rsid w:val="0005784C"/>
    <w:rsid w:val="00057C33"/>
    <w:rsid w:val="00066CE9"/>
    <w:rsid w:val="00070A5E"/>
    <w:rsid w:val="00082335"/>
    <w:rsid w:val="00082874"/>
    <w:rsid w:val="000966EF"/>
    <w:rsid w:val="000A636D"/>
    <w:rsid w:val="000B2726"/>
    <w:rsid w:val="000B6325"/>
    <w:rsid w:val="000C29D1"/>
    <w:rsid w:val="000C4D0A"/>
    <w:rsid w:val="000D69EB"/>
    <w:rsid w:val="000E7779"/>
    <w:rsid w:val="000F27CF"/>
    <w:rsid w:val="000F7A8D"/>
    <w:rsid w:val="00112DD9"/>
    <w:rsid w:val="00117AE9"/>
    <w:rsid w:val="00125925"/>
    <w:rsid w:val="001331FA"/>
    <w:rsid w:val="00136A7A"/>
    <w:rsid w:val="00136CDB"/>
    <w:rsid w:val="00147DB7"/>
    <w:rsid w:val="00152E2B"/>
    <w:rsid w:val="001613DA"/>
    <w:rsid w:val="001640B6"/>
    <w:rsid w:val="001647EF"/>
    <w:rsid w:val="001718AF"/>
    <w:rsid w:val="00176C6A"/>
    <w:rsid w:val="00184F47"/>
    <w:rsid w:val="001859A8"/>
    <w:rsid w:val="0019479E"/>
    <w:rsid w:val="001A5114"/>
    <w:rsid w:val="001A55D3"/>
    <w:rsid w:val="001A6161"/>
    <w:rsid w:val="001B2AF2"/>
    <w:rsid w:val="001D40DA"/>
    <w:rsid w:val="001E3C07"/>
    <w:rsid w:val="001F08FE"/>
    <w:rsid w:val="001F20EA"/>
    <w:rsid w:val="001F36D0"/>
    <w:rsid w:val="001F5FF8"/>
    <w:rsid w:val="00205AB5"/>
    <w:rsid w:val="00213EB6"/>
    <w:rsid w:val="00224161"/>
    <w:rsid w:val="00230665"/>
    <w:rsid w:val="00230D4E"/>
    <w:rsid w:val="0023311F"/>
    <w:rsid w:val="0024174F"/>
    <w:rsid w:val="00242C63"/>
    <w:rsid w:val="00244C2F"/>
    <w:rsid w:val="00251A52"/>
    <w:rsid w:val="00253C92"/>
    <w:rsid w:val="00255F78"/>
    <w:rsid w:val="002631D0"/>
    <w:rsid w:val="00263B2D"/>
    <w:rsid w:val="00264DA9"/>
    <w:rsid w:val="00286509"/>
    <w:rsid w:val="00294C6F"/>
    <w:rsid w:val="002A1F83"/>
    <w:rsid w:val="002B1673"/>
    <w:rsid w:val="002B1AB4"/>
    <w:rsid w:val="002B2BE7"/>
    <w:rsid w:val="002C10F8"/>
    <w:rsid w:val="002C3889"/>
    <w:rsid w:val="002C3C83"/>
    <w:rsid w:val="002C6D04"/>
    <w:rsid w:val="002D7162"/>
    <w:rsid w:val="002F2C98"/>
    <w:rsid w:val="002F450C"/>
    <w:rsid w:val="00303516"/>
    <w:rsid w:val="00307D4E"/>
    <w:rsid w:val="00310444"/>
    <w:rsid w:val="00311253"/>
    <w:rsid w:val="003137B4"/>
    <w:rsid w:val="00313E17"/>
    <w:rsid w:val="003218B6"/>
    <w:rsid w:val="003229E7"/>
    <w:rsid w:val="003406C7"/>
    <w:rsid w:val="00343D23"/>
    <w:rsid w:val="00350947"/>
    <w:rsid w:val="00355F25"/>
    <w:rsid w:val="003609D0"/>
    <w:rsid w:val="003616E0"/>
    <w:rsid w:val="00371E46"/>
    <w:rsid w:val="003833E9"/>
    <w:rsid w:val="00392895"/>
    <w:rsid w:val="003950C2"/>
    <w:rsid w:val="00397979"/>
    <w:rsid w:val="003A6BC1"/>
    <w:rsid w:val="003B0097"/>
    <w:rsid w:val="003B6AB9"/>
    <w:rsid w:val="003C7475"/>
    <w:rsid w:val="003D00CC"/>
    <w:rsid w:val="003E2F73"/>
    <w:rsid w:val="003E7D1D"/>
    <w:rsid w:val="003F1545"/>
    <w:rsid w:val="003F76FA"/>
    <w:rsid w:val="004040EF"/>
    <w:rsid w:val="00404BDB"/>
    <w:rsid w:val="00405B2B"/>
    <w:rsid w:val="00412129"/>
    <w:rsid w:val="00412FEF"/>
    <w:rsid w:val="0041305C"/>
    <w:rsid w:val="004131C9"/>
    <w:rsid w:val="00415C61"/>
    <w:rsid w:val="0042309A"/>
    <w:rsid w:val="00423900"/>
    <w:rsid w:val="00423E30"/>
    <w:rsid w:val="00424D8A"/>
    <w:rsid w:val="004456A9"/>
    <w:rsid w:val="004457D7"/>
    <w:rsid w:val="00445C5A"/>
    <w:rsid w:val="00451709"/>
    <w:rsid w:val="0045439A"/>
    <w:rsid w:val="004662FB"/>
    <w:rsid w:val="004670E3"/>
    <w:rsid w:val="0047370E"/>
    <w:rsid w:val="00475496"/>
    <w:rsid w:val="0048246E"/>
    <w:rsid w:val="0048454A"/>
    <w:rsid w:val="00484599"/>
    <w:rsid w:val="0048799C"/>
    <w:rsid w:val="004913FF"/>
    <w:rsid w:val="00491A4D"/>
    <w:rsid w:val="004930F9"/>
    <w:rsid w:val="0049788E"/>
    <w:rsid w:val="004B1221"/>
    <w:rsid w:val="004C247E"/>
    <w:rsid w:val="004D075A"/>
    <w:rsid w:val="004D09E8"/>
    <w:rsid w:val="004D52CA"/>
    <w:rsid w:val="004E348C"/>
    <w:rsid w:val="004F329B"/>
    <w:rsid w:val="004F6C24"/>
    <w:rsid w:val="00506896"/>
    <w:rsid w:val="00511420"/>
    <w:rsid w:val="0051329D"/>
    <w:rsid w:val="0052387E"/>
    <w:rsid w:val="00527CAA"/>
    <w:rsid w:val="00540581"/>
    <w:rsid w:val="00540D86"/>
    <w:rsid w:val="0054121A"/>
    <w:rsid w:val="00542F12"/>
    <w:rsid w:val="005432F9"/>
    <w:rsid w:val="00543FC4"/>
    <w:rsid w:val="005566C3"/>
    <w:rsid w:val="005613DA"/>
    <w:rsid w:val="005645A8"/>
    <w:rsid w:val="00565F94"/>
    <w:rsid w:val="00567B16"/>
    <w:rsid w:val="0057024A"/>
    <w:rsid w:val="005744D2"/>
    <w:rsid w:val="0057712F"/>
    <w:rsid w:val="00584792"/>
    <w:rsid w:val="005931A4"/>
    <w:rsid w:val="00595230"/>
    <w:rsid w:val="005A3E4D"/>
    <w:rsid w:val="005B449A"/>
    <w:rsid w:val="005B46C8"/>
    <w:rsid w:val="005B7CE3"/>
    <w:rsid w:val="005C08EE"/>
    <w:rsid w:val="005C5CDC"/>
    <w:rsid w:val="005D2601"/>
    <w:rsid w:val="005D6B51"/>
    <w:rsid w:val="005E0D25"/>
    <w:rsid w:val="005F6579"/>
    <w:rsid w:val="0060505A"/>
    <w:rsid w:val="00610E1F"/>
    <w:rsid w:val="00611C40"/>
    <w:rsid w:val="00613151"/>
    <w:rsid w:val="00613511"/>
    <w:rsid w:val="00615D2E"/>
    <w:rsid w:val="00627B92"/>
    <w:rsid w:val="00630330"/>
    <w:rsid w:val="0063472E"/>
    <w:rsid w:val="00637B46"/>
    <w:rsid w:val="00637FAC"/>
    <w:rsid w:val="00637FC2"/>
    <w:rsid w:val="00642152"/>
    <w:rsid w:val="006479CF"/>
    <w:rsid w:val="00652920"/>
    <w:rsid w:val="00657EB6"/>
    <w:rsid w:val="00661722"/>
    <w:rsid w:val="006648CE"/>
    <w:rsid w:val="00664DA7"/>
    <w:rsid w:val="00666805"/>
    <w:rsid w:val="0067113E"/>
    <w:rsid w:val="006770A1"/>
    <w:rsid w:val="00684EBF"/>
    <w:rsid w:val="00684FC2"/>
    <w:rsid w:val="00686423"/>
    <w:rsid w:val="006A0A30"/>
    <w:rsid w:val="006A70D5"/>
    <w:rsid w:val="006B50C5"/>
    <w:rsid w:val="006B60A9"/>
    <w:rsid w:val="006E3CD0"/>
    <w:rsid w:val="006E5290"/>
    <w:rsid w:val="006F1D96"/>
    <w:rsid w:val="006F7B4F"/>
    <w:rsid w:val="00701BB9"/>
    <w:rsid w:val="00714D21"/>
    <w:rsid w:val="0072261D"/>
    <w:rsid w:val="00730391"/>
    <w:rsid w:val="007306D1"/>
    <w:rsid w:val="0073078B"/>
    <w:rsid w:val="00733960"/>
    <w:rsid w:val="00734F9E"/>
    <w:rsid w:val="00735982"/>
    <w:rsid w:val="00743685"/>
    <w:rsid w:val="00751B31"/>
    <w:rsid w:val="00762EB1"/>
    <w:rsid w:val="00763D30"/>
    <w:rsid w:val="007674AA"/>
    <w:rsid w:val="007757F7"/>
    <w:rsid w:val="007858ED"/>
    <w:rsid w:val="007870CF"/>
    <w:rsid w:val="00787666"/>
    <w:rsid w:val="0078797F"/>
    <w:rsid w:val="00790BBB"/>
    <w:rsid w:val="007A5734"/>
    <w:rsid w:val="007C0D6F"/>
    <w:rsid w:val="007C168B"/>
    <w:rsid w:val="007D6E77"/>
    <w:rsid w:val="007D7213"/>
    <w:rsid w:val="007D7764"/>
    <w:rsid w:val="007E5106"/>
    <w:rsid w:val="007E73F7"/>
    <w:rsid w:val="007F2AB1"/>
    <w:rsid w:val="007F5BC6"/>
    <w:rsid w:val="00803044"/>
    <w:rsid w:val="00810A33"/>
    <w:rsid w:val="008141C4"/>
    <w:rsid w:val="008158B1"/>
    <w:rsid w:val="00824FE9"/>
    <w:rsid w:val="00826648"/>
    <w:rsid w:val="00840103"/>
    <w:rsid w:val="008426E2"/>
    <w:rsid w:val="0085116B"/>
    <w:rsid w:val="00855C12"/>
    <w:rsid w:val="00856F80"/>
    <w:rsid w:val="00867E49"/>
    <w:rsid w:val="00876A4C"/>
    <w:rsid w:val="00881757"/>
    <w:rsid w:val="00884F10"/>
    <w:rsid w:val="008A711F"/>
    <w:rsid w:val="008B66D0"/>
    <w:rsid w:val="008D0339"/>
    <w:rsid w:val="008D4298"/>
    <w:rsid w:val="008D6BCA"/>
    <w:rsid w:val="008D6BD3"/>
    <w:rsid w:val="008E5793"/>
    <w:rsid w:val="00904658"/>
    <w:rsid w:val="009152C5"/>
    <w:rsid w:val="0091534E"/>
    <w:rsid w:val="00921E20"/>
    <w:rsid w:val="00940DE5"/>
    <w:rsid w:val="00941F55"/>
    <w:rsid w:val="00955423"/>
    <w:rsid w:val="009733FF"/>
    <w:rsid w:val="00976007"/>
    <w:rsid w:val="00980660"/>
    <w:rsid w:val="0099005E"/>
    <w:rsid w:val="00997CBE"/>
    <w:rsid w:val="009A148B"/>
    <w:rsid w:val="009B49FA"/>
    <w:rsid w:val="009B5893"/>
    <w:rsid w:val="009C1B9A"/>
    <w:rsid w:val="009C4BD9"/>
    <w:rsid w:val="009D05A2"/>
    <w:rsid w:val="009D0C53"/>
    <w:rsid w:val="009D44CA"/>
    <w:rsid w:val="009D7EC9"/>
    <w:rsid w:val="009E3C53"/>
    <w:rsid w:val="009E7DB3"/>
    <w:rsid w:val="009F166D"/>
    <w:rsid w:val="00A01164"/>
    <w:rsid w:val="00A10B67"/>
    <w:rsid w:val="00A15CA0"/>
    <w:rsid w:val="00A32B76"/>
    <w:rsid w:val="00A54C1D"/>
    <w:rsid w:val="00A56CA6"/>
    <w:rsid w:val="00A64BDA"/>
    <w:rsid w:val="00A6537D"/>
    <w:rsid w:val="00A81907"/>
    <w:rsid w:val="00A87A55"/>
    <w:rsid w:val="00A91DC8"/>
    <w:rsid w:val="00A922C4"/>
    <w:rsid w:val="00A943BA"/>
    <w:rsid w:val="00A94B4A"/>
    <w:rsid w:val="00AA51E9"/>
    <w:rsid w:val="00AA5816"/>
    <w:rsid w:val="00AA6E8C"/>
    <w:rsid w:val="00AA7A06"/>
    <w:rsid w:val="00AB0A71"/>
    <w:rsid w:val="00AB1B29"/>
    <w:rsid w:val="00AB1F0E"/>
    <w:rsid w:val="00AB599B"/>
    <w:rsid w:val="00AC12B6"/>
    <w:rsid w:val="00AC24CB"/>
    <w:rsid w:val="00AD08F4"/>
    <w:rsid w:val="00AD6FAF"/>
    <w:rsid w:val="00AD7743"/>
    <w:rsid w:val="00AE1C96"/>
    <w:rsid w:val="00AE1E06"/>
    <w:rsid w:val="00AE1E61"/>
    <w:rsid w:val="00AE636A"/>
    <w:rsid w:val="00B015A6"/>
    <w:rsid w:val="00B01CFC"/>
    <w:rsid w:val="00B03E61"/>
    <w:rsid w:val="00B12F13"/>
    <w:rsid w:val="00B37605"/>
    <w:rsid w:val="00B37A08"/>
    <w:rsid w:val="00B51D2D"/>
    <w:rsid w:val="00B524F8"/>
    <w:rsid w:val="00B63583"/>
    <w:rsid w:val="00B635CF"/>
    <w:rsid w:val="00B63716"/>
    <w:rsid w:val="00B7045C"/>
    <w:rsid w:val="00B73490"/>
    <w:rsid w:val="00B73DE6"/>
    <w:rsid w:val="00B75772"/>
    <w:rsid w:val="00B77F47"/>
    <w:rsid w:val="00B80BFA"/>
    <w:rsid w:val="00B91884"/>
    <w:rsid w:val="00B9494F"/>
    <w:rsid w:val="00BA2D35"/>
    <w:rsid w:val="00BA41CA"/>
    <w:rsid w:val="00BA4E81"/>
    <w:rsid w:val="00BB35B1"/>
    <w:rsid w:val="00BB7E5E"/>
    <w:rsid w:val="00BC67AC"/>
    <w:rsid w:val="00BE622B"/>
    <w:rsid w:val="00BE6592"/>
    <w:rsid w:val="00BF1FE0"/>
    <w:rsid w:val="00BF3038"/>
    <w:rsid w:val="00C02BE8"/>
    <w:rsid w:val="00C03BC1"/>
    <w:rsid w:val="00C053E8"/>
    <w:rsid w:val="00C11FA0"/>
    <w:rsid w:val="00C17B30"/>
    <w:rsid w:val="00C25253"/>
    <w:rsid w:val="00C3218D"/>
    <w:rsid w:val="00C32E86"/>
    <w:rsid w:val="00C35F2E"/>
    <w:rsid w:val="00C443B1"/>
    <w:rsid w:val="00C50670"/>
    <w:rsid w:val="00C56ABF"/>
    <w:rsid w:val="00C63673"/>
    <w:rsid w:val="00C668E4"/>
    <w:rsid w:val="00C75738"/>
    <w:rsid w:val="00C771D2"/>
    <w:rsid w:val="00C7752F"/>
    <w:rsid w:val="00C9473A"/>
    <w:rsid w:val="00C96881"/>
    <w:rsid w:val="00C97742"/>
    <w:rsid w:val="00CA096A"/>
    <w:rsid w:val="00CA6162"/>
    <w:rsid w:val="00CB1EAC"/>
    <w:rsid w:val="00CB5623"/>
    <w:rsid w:val="00CB60FD"/>
    <w:rsid w:val="00CB6B95"/>
    <w:rsid w:val="00CB78C2"/>
    <w:rsid w:val="00CD35FF"/>
    <w:rsid w:val="00CD44E2"/>
    <w:rsid w:val="00CD60C8"/>
    <w:rsid w:val="00CD64B5"/>
    <w:rsid w:val="00CE1520"/>
    <w:rsid w:val="00CE29BD"/>
    <w:rsid w:val="00CE4C3A"/>
    <w:rsid w:val="00CE5001"/>
    <w:rsid w:val="00CE7044"/>
    <w:rsid w:val="00CF432A"/>
    <w:rsid w:val="00CF5266"/>
    <w:rsid w:val="00CF600A"/>
    <w:rsid w:val="00CF60FE"/>
    <w:rsid w:val="00CF7505"/>
    <w:rsid w:val="00D00883"/>
    <w:rsid w:val="00D01454"/>
    <w:rsid w:val="00D0213B"/>
    <w:rsid w:val="00D038C1"/>
    <w:rsid w:val="00D21B84"/>
    <w:rsid w:val="00D302D3"/>
    <w:rsid w:val="00D32BB0"/>
    <w:rsid w:val="00D41A9B"/>
    <w:rsid w:val="00D42544"/>
    <w:rsid w:val="00D51FDD"/>
    <w:rsid w:val="00D56A44"/>
    <w:rsid w:val="00D747BA"/>
    <w:rsid w:val="00D75597"/>
    <w:rsid w:val="00D75D4D"/>
    <w:rsid w:val="00D8215C"/>
    <w:rsid w:val="00D826F1"/>
    <w:rsid w:val="00D8423F"/>
    <w:rsid w:val="00D8587A"/>
    <w:rsid w:val="00D86852"/>
    <w:rsid w:val="00D92B77"/>
    <w:rsid w:val="00DA0A5C"/>
    <w:rsid w:val="00DB3F12"/>
    <w:rsid w:val="00DC5FAD"/>
    <w:rsid w:val="00DC6C1A"/>
    <w:rsid w:val="00DD4A2B"/>
    <w:rsid w:val="00DE4622"/>
    <w:rsid w:val="00DE4787"/>
    <w:rsid w:val="00DE4953"/>
    <w:rsid w:val="00DE61AE"/>
    <w:rsid w:val="00DF483F"/>
    <w:rsid w:val="00DF6AB3"/>
    <w:rsid w:val="00E061B0"/>
    <w:rsid w:val="00E06D74"/>
    <w:rsid w:val="00E079D9"/>
    <w:rsid w:val="00E1060C"/>
    <w:rsid w:val="00E13491"/>
    <w:rsid w:val="00E13D9F"/>
    <w:rsid w:val="00E1438D"/>
    <w:rsid w:val="00E26EFC"/>
    <w:rsid w:val="00E3017E"/>
    <w:rsid w:val="00E348B3"/>
    <w:rsid w:val="00E43425"/>
    <w:rsid w:val="00E43BDA"/>
    <w:rsid w:val="00E46941"/>
    <w:rsid w:val="00E61916"/>
    <w:rsid w:val="00E61D5C"/>
    <w:rsid w:val="00E80ADA"/>
    <w:rsid w:val="00E849A8"/>
    <w:rsid w:val="00E84E29"/>
    <w:rsid w:val="00E9132F"/>
    <w:rsid w:val="00EA63FB"/>
    <w:rsid w:val="00EA6E95"/>
    <w:rsid w:val="00EB728B"/>
    <w:rsid w:val="00EC1E43"/>
    <w:rsid w:val="00ED1E96"/>
    <w:rsid w:val="00EE38CE"/>
    <w:rsid w:val="00EE3ADF"/>
    <w:rsid w:val="00EF7934"/>
    <w:rsid w:val="00F13DCE"/>
    <w:rsid w:val="00F1682F"/>
    <w:rsid w:val="00F359DF"/>
    <w:rsid w:val="00F36FB8"/>
    <w:rsid w:val="00F47448"/>
    <w:rsid w:val="00F60675"/>
    <w:rsid w:val="00F672F7"/>
    <w:rsid w:val="00F86A92"/>
    <w:rsid w:val="00F9215C"/>
    <w:rsid w:val="00F9305A"/>
    <w:rsid w:val="00FA741F"/>
    <w:rsid w:val="00FB14AD"/>
    <w:rsid w:val="00FB2066"/>
    <w:rsid w:val="00FC2593"/>
    <w:rsid w:val="00FC2B84"/>
    <w:rsid w:val="00FC5322"/>
    <w:rsid w:val="00FD0052"/>
    <w:rsid w:val="00FD2337"/>
    <w:rsid w:val="00FE7AC1"/>
    <w:rsid w:val="00FF40C4"/>
    <w:rsid w:val="13914897"/>
    <w:rsid w:val="154C02F6"/>
    <w:rsid w:val="1D6530D0"/>
    <w:rsid w:val="1FAA7AF9"/>
    <w:rsid w:val="21E70DF9"/>
    <w:rsid w:val="27DA63B5"/>
    <w:rsid w:val="425B511B"/>
    <w:rsid w:val="435175CD"/>
    <w:rsid w:val="5B7F5A27"/>
    <w:rsid w:val="66F127F8"/>
    <w:rsid w:val="6AF47A88"/>
    <w:rsid w:val="7101188A"/>
    <w:rsid w:val="757469E4"/>
    <w:rsid w:val="7CAB2FF1"/>
    <w:rsid w:val="7E071B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